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40" w:lineRule="exact"/>
        <w:rPr>
          <w:rFonts w:cs="黑体" w:asciiTheme="minorEastAsia" w:hAnsiTheme="minorEastAsia"/>
          <w:sz w:val="32"/>
          <w:szCs w:val="32"/>
        </w:rPr>
      </w:pPr>
      <w:r>
        <w:rPr>
          <w:rFonts w:hint="eastAsia" w:cs="黑体" w:asciiTheme="minorEastAsia" w:hAnsiTheme="minorEastAsia"/>
          <w:sz w:val="32"/>
          <w:szCs w:val="32"/>
        </w:rPr>
        <w:t>附件</w:t>
      </w:r>
      <w:r>
        <w:rPr>
          <w:rFonts w:hint="eastAsia" w:cs="黑体" w:asciiTheme="minorEastAsia" w:hAnsiTheme="minorEastAsia"/>
          <w:sz w:val="32"/>
          <w:szCs w:val="32"/>
          <w:lang w:val="en-US" w:eastAsia="zh-CN"/>
        </w:rPr>
        <w:t>1</w:t>
      </w:r>
      <w:bookmarkStart w:id="0" w:name="_GoBack"/>
      <w:bookmarkEnd w:id="0"/>
      <w:r>
        <w:rPr>
          <w:rFonts w:hint="eastAsia" w:cs="黑体" w:asciiTheme="minorEastAsia" w:hAnsiTheme="minorEastAsia"/>
          <w:sz w:val="32"/>
          <w:szCs w:val="32"/>
        </w:rPr>
        <w:t>：</w:t>
      </w:r>
    </w:p>
    <w:p>
      <w:pPr>
        <w:spacing w:after="0" w:line="44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上海市直播电商基地综合评价指标体系</w:t>
      </w:r>
    </w:p>
    <w:tbl>
      <w:tblPr>
        <w:tblStyle w:val="5"/>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2232"/>
        <w:gridCol w:w="709"/>
        <w:gridCol w:w="5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709"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一级</w:t>
            </w:r>
          </w:p>
          <w:p>
            <w:pPr>
              <w:spacing w:after="0" w:line="260" w:lineRule="exact"/>
              <w:contextualSpacing/>
              <w:jc w:val="center"/>
              <w:rPr>
                <w:rFonts w:asciiTheme="minorEastAsia" w:hAnsiTheme="minorEastAsia"/>
                <w:b/>
              </w:rPr>
            </w:pPr>
            <w:r>
              <w:rPr>
                <w:rFonts w:hint="eastAsia" w:asciiTheme="minorEastAsia" w:hAnsiTheme="minorEastAsia"/>
                <w:b/>
              </w:rPr>
              <w:t>指标</w:t>
            </w:r>
          </w:p>
        </w:tc>
        <w:tc>
          <w:tcPr>
            <w:tcW w:w="709"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二级</w:t>
            </w:r>
          </w:p>
          <w:p>
            <w:pPr>
              <w:spacing w:after="0" w:line="260" w:lineRule="exact"/>
              <w:contextualSpacing/>
              <w:jc w:val="center"/>
              <w:rPr>
                <w:rFonts w:asciiTheme="minorEastAsia" w:hAnsiTheme="minorEastAsia"/>
                <w:b/>
              </w:rPr>
            </w:pPr>
            <w:r>
              <w:rPr>
                <w:rFonts w:hint="eastAsia" w:asciiTheme="minorEastAsia" w:hAnsiTheme="minorEastAsia"/>
                <w:b/>
              </w:rPr>
              <w:t>指标</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三级指标</w:t>
            </w:r>
          </w:p>
        </w:tc>
        <w:tc>
          <w:tcPr>
            <w:tcW w:w="709"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单位</w:t>
            </w:r>
          </w:p>
        </w:tc>
        <w:tc>
          <w:tcPr>
            <w:tcW w:w="5559"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指标解释与填报注意事项</w:t>
            </w:r>
          </w:p>
        </w:tc>
        <w:tc>
          <w:tcPr>
            <w:tcW w:w="340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证明材料提示</w:t>
            </w:r>
          </w:p>
          <w:p>
            <w:pPr>
              <w:spacing w:after="0" w:line="260" w:lineRule="exact"/>
              <w:contextualSpacing/>
              <w:jc w:val="center"/>
              <w:rPr>
                <w:rFonts w:asciiTheme="minorEastAsia" w:hAnsiTheme="minorEastAsia"/>
                <w:b/>
              </w:rPr>
            </w:pPr>
            <w:r>
              <w:rPr>
                <w:rFonts w:hint="eastAsia" w:asciiTheme="minorEastAsia" w:hAnsiTheme="minorEastAsia"/>
                <w:b/>
              </w:rPr>
              <w:t>（可以包括但不限于以下内容）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09" w:type="dxa"/>
            <w:vMerge w:val="restart"/>
            <w:vAlign w:val="center"/>
          </w:tcPr>
          <w:p>
            <w:pPr>
              <w:spacing w:after="0" w:line="260" w:lineRule="exact"/>
              <w:contextualSpacing/>
              <w:jc w:val="center"/>
              <w:rPr>
                <w:rFonts w:ascii="黑体" w:hAnsi="黑体" w:eastAsia="黑体"/>
                <w:b/>
                <w:sz w:val="24"/>
                <w:szCs w:val="24"/>
              </w:rPr>
            </w:pPr>
            <w:r>
              <w:rPr>
                <w:rFonts w:hint="eastAsia" w:ascii="黑体" w:hAnsi="黑体" w:eastAsia="黑体"/>
                <w:b/>
                <w:sz w:val="24"/>
                <w:szCs w:val="24"/>
              </w:rPr>
              <w:t>承载</w:t>
            </w:r>
          </w:p>
          <w:p>
            <w:pPr>
              <w:spacing w:after="0" w:line="260" w:lineRule="exact"/>
              <w:contextualSpacing/>
              <w:jc w:val="center"/>
            </w:pPr>
            <w:r>
              <w:rPr>
                <w:rFonts w:hint="eastAsia" w:ascii="黑体" w:hAnsi="黑体" w:eastAsia="黑体"/>
                <w:b/>
                <w:sz w:val="24"/>
                <w:szCs w:val="24"/>
              </w:rPr>
              <w:t>能力</w:t>
            </w: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基础</w:t>
            </w:r>
          </w:p>
          <w:p>
            <w:pPr>
              <w:spacing w:after="0" w:line="260" w:lineRule="exact"/>
              <w:contextualSpacing/>
              <w:jc w:val="center"/>
              <w:rPr>
                <w:rFonts w:ascii="楷体" w:hAnsi="楷体" w:eastAsia="楷体"/>
                <w:sz w:val="24"/>
                <w:szCs w:val="24"/>
              </w:rPr>
            </w:pPr>
            <w:r>
              <w:rPr>
                <w:rFonts w:hint="eastAsia" w:ascii="楷体" w:hAnsi="楷体" w:eastAsia="楷体"/>
                <w:sz w:val="24"/>
                <w:szCs w:val="24"/>
              </w:rPr>
              <w:t>硬件</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直播电商企业</w:t>
            </w:r>
          </w:p>
          <w:p>
            <w:pPr>
              <w:spacing w:after="0" w:line="260" w:lineRule="exact"/>
              <w:contextualSpacing/>
              <w:jc w:val="center"/>
              <w:rPr>
                <w:rFonts w:asciiTheme="minorEastAsia" w:hAnsiTheme="minorEastAsia"/>
                <w:b/>
              </w:rPr>
            </w:pPr>
            <w:r>
              <w:rPr>
                <w:rFonts w:hint="eastAsia" w:asciiTheme="minorEastAsia" w:hAnsiTheme="minorEastAsia"/>
                <w:b/>
              </w:rPr>
              <w:t>建筑面积</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平方米</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1.已投入使用的、用于直播电商企业办公的总建筑面积，不包括用于仓储、配套等用途的建筑面积。</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2.在建和已建成未使用的面积不计入在内。</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提供直播电商企业办公建筑面积明细表，以楼宇或企业为单位进行统计。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直播电商配套</w:t>
            </w:r>
          </w:p>
          <w:p>
            <w:pPr>
              <w:spacing w:after="0" w:line="260" w:lineRule="exact"/>
              <w:contextualSpacing/>
              <w:jc w:val="center"/>
              <w:rPr>
                <w:rFonts w:asciiTheme="minorEastAsia" w:hAnsiTheme="minorEastAsia"/>
                <w:b/>
              </w:rPr>
            </w:pPr>
            <w:r>
              <w:rPr>
                <w:rFonts w:hint="eastAsia" w:asciiTheme="minorEastAsia" w:hAnsiTheme="minorEastAsia"/>
                <w:b/>
              </w:rPr>
              <w:t>服务区面积</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平方米</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基地已投入使用的、用于为直播电商企业提供商业及生活配套的建筑面积，包括仓储面积，也包括为基地直播电商企业提供食宿、休闲娱乐等服务用途的建筑面积。</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提供配套服务面积明细表，以楼宇或配套功能区为单位进行统计。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入驻</w:t>
            </w:r>
          </w:p>
          <w:p>
            <w:pPr>
              <w:spacing w:after="0" w:line="260" w:lineRule="exact"/>
              <w:contextualSpacing/>
              <w:jc w:val="center"/>
              <w:rPr>
                <w:rFonts w:ascii="楷体" w:hAnsi="楷体" w:eastAsia="楷体"/>
                <w:sz w:val="24"/>
                <w:szCs w:val="24"/>
              </w:rPr>
            </w:pPr>
            <w:r>
              <w:rPr>
                <w:rFonts w:hint="eastAsia" w:ascii="楷体" w:hAnsi="楷体" w:eastAsia="楷体"/>
                <w:sz w:val="24"/>
                <w:szCs w:val="24"/>
              </w:rPr>
              <w:t>企业</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直播电商企业数量</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个</w:t>
            </w:r>
          </w:p>
        </w:tc>
        <w:tc>
          <w:tcPr>
            <w:tcW w:w="5559" w:type="dxa"/>
            <w:vAlign w:val="center"/>
          </w:tcPr>
          <w:p>
            <w:pPr>
              <w:tabs>
                <w:tab w:val="left" w:pos="312"/>
              </w:tabs>
              <w:spacing w:after="0" w:line="260" w:lineRule="exact"/>
              <w:rPr>
                <w:rFonts w:ascii="仿宋_GB2312" w:eastAsia="仿宋_GB2312" w:hAnsiTheme="minorEastAsia"/>
                <w:sz w:val="21"/>
                <w:szCs w:val="21"/>
              </w:rPr>
            </w:pPr>
            <w:r>
              <w:rPr>
                <w:rFonts w:hint="eastAsia" w:ascii="仿宋_GB2312" w:eastAsia="仿宋_GB2312" w:hAnsiTheme="minorEastAsia"/>
                <w:sz w:val="21"/>
                <w:szCs w:val="21"/>
              </w:rPr>
              <w:t>报告期末入驻基地全部直播电商企业（含在孵直播电商企业）数量，主要包括</w:t>
            </w:r>
            <w:r>
              <w:rPr>
                <w:rFonts w:hint="eastAsia" w:ascii="仿宋_GB2312" w:eastAsia="仿宋_GB2312" w:hAnsiTheme="majorEastAsia" w:cstheme="majorEastAsia"/>
                <w:sz w:val="21"/>
                <w:szCs w:val="21"/>
              </w:rPr>
              <w:t>直播电商上下游产业链相关企业。</w:t>
            </w:r>
          </w:p>
          <w:p>
            <w:pPr>
              <w:spacing w:after="0" w:line="260" w:lineRule="exact"/>
              <w:contextualSpacing/>
              <w:rPr>
                <w:rFonts w:ascii="仿宋_GB2312" w:eastAsia="仿宋_GB2312" w:hAnsiTheme="minorEastAsia"/>
                <w:sz w:val="21"/>
                <w:szCs w:val="21"/>
              </w:rPr>
            </w:pP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提供企业名单，列明以下内容：企业名称、企业法人、联系方式、主营业务、营业地址。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rPr>
                <w:rFonts w:asciiTheme="minorEastAsia" w:hAnsiTheme="minorEastAsia"/>
                <w:b/>
              </w:rPr>
            </w:pPr>
            <w:r>
              <w:rPr>
                <w:rFonts w:hint="eastAsia" w:asciiTheme="minorEastAsia" w:hAnsiTheme="minorEastAsia"/>
                <w:b/>
              </w:rPr>
              <w:t>直播电商企业入驻率</w:t>
            </w:r>
          </w:p>
        </w:tc>
        <w:tc>
          <w:tcPr>
            <w:tcW w:w="709" w:type="dxa"/>
            <w:vAlign w:val="center"/>
          </w:tcPr>
          <w:p>
            <w:pPr>
              <w:spacing w:after="0" w:line="260" w:lineRule="exact"/>
              <w:contextualSpacing/>
              <w:jc w:val="center"/>
              <w:rPr>
                <w:rFonts w:asciiTheme="minorEastAsia" w:hAnsiTheme="minorEastAsia"/>
                <w:b/>
                <w:sz w:val="18"/>
                <w:szCs w:val="18"/>
              </w:rPr>
            </w:pPr>
            <w:r>
              <w:rPr>
                <w:rFonts w:asciiTheme="minorEastAsia" w:hAnsiTheme="minorEastAsia"/>
                <w:b/>
                <w:sz w:val="18"/>
                <w:szCs w:val="18"/>
              </w:rPr>
              <w:t>%</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基地直播电商企业数量与全部入驻企业数量之间的比值。</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提供全部入驻企业数量及证明材料。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restart"/>
            <w:vAlign w:val="center"/>
          </w:tcPr>
          <w:p>
            <w:pPr>
              <w:spacing w:after="0" w:line="260" w:lineRule="exact"/>
              <w:contextualSpacing/>
              <w:jc w:val="center"/>
              <w:rPr>
                <w:rFonts w:ascii="华文细黑" w:hAnsi="华文细黑" w:eastAsia="华文细黑"/>
                <w:b/>
                <w:sz w:val="24"/>
                <w:szCs w:val="24"/>
              </w:rPr>
            </w:pPr>
          </w:p>
          <w:p>
            <w:pPr>
              <w:spacing w:after="0" w:line="260" w:lineRule="exact"/>
              <w:contextualSpacing/>
              <w:jc w:val="center"/>
            </w:pPr>
            <w:r>
              <w:rPr>
                <w:rFonts w:hint="eastAsia" w:ascii="华文细黑" w:hAnsi="华文细黑" w:eastAsia="华文细黑"/>
                <w:b/>
                <w:sz w:val="24"/>
                <w:szCs w:val="24"/>
              </w:rPr>
              <w:t>示范能力</w:t>
            </w: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发展速度与规模</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直播电商交易额</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万元</w:t>
            </w:r>
          </w:p>
        </w:tc>
        <w:tc>
          <w:tcPr>
            <w:tcW w:w="5559" w:type="dxa"/>
            <w:vAlign w:val="center"/>
          </w:tcPr>
          <w:p>
            <w:pPr>
              <w:spacing w:after="0" w:line="260" w:lineRule="exact"/>
              <w:contextualSpacing/>
              <w:rPr>
                <w:rFonts w:ascii="仿宋_GB2312" w:eastAsia="仿宋_GB2312" w:hAnsiTheme="minorEastAsia"/>
                <w:sz w:val="21"/>
                <w:szCs w:val="21"/>
              </w:rPr>
            </w:pP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在报告期内，基地全体直播电商企业产生的直播电商交易总额。</w:t>
            </w:r>
          </w:p>
          <w:p>
            <w:pPr>
              <w:spacing w:after="0" w:line="260" w:lineRule="exact"/>
              <w:contextualSpacing/>
              <w:rPr>
                <w:rFonts w:ascii="仿宋_GB2312" w:eastAsia="仿宋_GB2312" w:hAnsiTheme="minorEastAsia"/>
                <w:sz w:val="21"/>
                <w:szCs w:val="21"/>
              </w:rPr>
            </w:pP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直播电商交易额构成明细，按企业统计。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直播电商企业营收总额</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万元</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1.报告期内基地全体直播电商企业营业总收入。</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2.该营收应来源于基地直播电商企业进行的直播电商交易或提供的服务，而不应源于传统交易方式或其他非电商业务收入。</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3.营收额如果远高于交易额，视为电商服务企业占比大，需提供相应的证明。</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按企业统计。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直播电商企业缴税总额</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万元</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报告期内基地全体直播电商企业缴税总额。直播电商企业缴税额指企业全年的应缴纳税总额，主要包括企业营业税、增值税、个人所得税、企业所得税、附加税等。</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按企业统计。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吸纳就业</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全体直播电商企业从业人数</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人</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1.报告期末基地全体直播电商企业从业人员数量之和。</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企业从业人数统计口径：在本单位工作并取得劳动报酬或经营收入的实有人员数。从业人员还包括在各单位工作的外方人员和港澳台方人员、兼职人员、再就业的离退休人员、借用的外单位人员和第二职业者，但不包括离开本单位仍保留劳动关系的职工。</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全体直播电商企业从业人数，按企业统计，包括企业名称、地址、从业人数、负责人、联系方式。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吸纳应届大学</w:t>
            </w:r>
          </w:p>
          <w:p>
            <w:pPr>
              <w:spacing w:line="260" w:lineRule="exact"/>
              <w:contextualSpacing/>
              <w:jc w:val="center"/>
              <w:rPr>
                <w:rFonts w:asciiTheme="minorEastAsia" w:hAnsiTheme="minorEastAsia"/>
                <w:b/>
              </w:rPr>
            </w:pPr>
            <w:r>
              <w:rPr>
                <w:rFonts w:hint="eastAsia" w:asciiTheme="minorEastAsia" w:hAnsiTheme="minorEastAsia"/>
                <w:b/>
              </w:rPr>
              <w:t>毕业生就业人数</w:t>
            </w:r>
          </w:p>
        </w:tc>
        <w:tc>
          <w:tcPr>
            <w:tcW w:w="709" w:type="dxa"/>
            <w:vAlign w:val="center"/>
          </w:tcPr>
          <w:p>
            <w:pPr>
              <w:spacing w:line="260" w:lineRule="exact"/>
              <w:contextualSpacing/>
              <w:jc w:val="center"/>
              <w:rPr>
                <w:rFonts w:asciiTheme="minorEastAsia" w:hAnsiTheme="minorEastAsia"/>
                <w:b/>
                <w:sz w:val="18"/>
                <w:szCs w:val="18"/>
              </w:rPr>
            </w:pPr>
            <w:r>
              <w:rPr>
                <w:rFonts w:hint="eastAsia" w:asciiTheme="minorEastAsia" w:hAnsiTheme="minorEastAsia"/>
                <w:b/>
                <w:sz w:val="18"/>
                <w:szCs w:val="18"/>
              </w:rPr>
              <w:t>人</w:t>
            </w:r>
          </w:p>
        </w:tc>
        <w:tc>
          <w:tcPr>
            <w:tcW w:w="5559" w:type="dxa"/>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报告期末基地全体直播电商企业吸纳应届大学生就业人数之和。</w:t>
            </w:r>
          </w:p>
        </w:tc>
        <w:tc>
          <w:tcPr>
            <w:tcW w:w="3402" w:type="dxa"/>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基地全体直播电商企业吸纳应届大学毕业生就业人数，按企业统计，包括企业名称、地址、负责人、联系方式。与前一指标的证明材料可以共用一张报表。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9" w:type="dxa"/>
            <w:vMerge w:val="continue"/>
            <w:vAlign w:val="center"/>
          </w:tcPr>
          <w:p>
            <w:pPr>
              <w:spacing w:after="0" w:line="260" w:lineRule="exact"/>
              <w:contextualSpacing/>
              <w:jc w:val="center"/>
            </w:pPr>
          </w:p>
        </w:tc>
        <w:tc>
          <w:tcPr>
            <w:tcW w:w="2941" w:type="dxa"/>
            <w:gridSpan w:val="2"/>
            <w:vAlign w:val="center"/>
          </w:tcPr>
          <w:p>
            <w:pPr>
              <w:spacing w:after="0" w:line="260" w:lineRule="exact"/>
              <w:contextualSpacing/>
              <w:jc w:val="center"/>
              <w:rPr>
                <w:rFonts w:asciiTheme="minorEastAsia" w:hAnsiTheme="minorEastAsia"/>
                <w:b/>
              </w:rPr>
            </w:pPr>
            <w:r>
              <w:rPr>
                <w:rFonts w:asciiTheme="minorEastAsia" w:hAnsiTheme="minorEastAsia"/>
                <w:b/>
              </w:rPr>
              <w:t>参与促消费活动情况</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基地内电商企业参加 “五五购物节”“11直播月”“网上年货节”的情况。</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提供基地组织企业参与的相关文件、通知要求，参加企业名单、交易额构成明细及相关报道等。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09" w:type="dxa"/>
            <w:vMerge w:val="restart"/>
            <w:vAlign w:val="center"/>
          </w:tcPr>
          <w:p>
            <w:pPr>
              <w:spacing w:after="0" w:line="260" w:lineRule="exact"/>
              <w:contextualSpacing/>
              <w:jc w:val="center"/>
              <w:rPr>
                <w:rFonts w:ascii="华文细黑" w:hAnsi="华文细黑" w:eastAsia="华文细黑"/>
                <w:b/>
                <w:sz w:val="24"/>
                <w:szCs w:val="24"/>
              </w:rPr>
            </w:pPr>
          </w:p>
          <w:p>
            <w:pPr>
              <w:spacing w:after="0" w:line="260" w:lineRule="exact"/>
              <w:contextualSpacing/>
              <w:jc w:val="center"/>
              <w:rPr>
                <w:rFonts w:ascii="华文细黑" w:hAnsi="华文细黑" w:eastAsia="华文细黑"/>
                <w:b/>
                <w:sz w:val="24"/>
                <w:szCs w:val="24"/>
              </w:rPr>
            </w:pPr>
          </w:p>
          <w:p>
            <w:pPr>
              <w:spacing w:after="0" w:line="260" w:lineRule="exact"/>
              <w:contextualSpacing/>
              <w:jc w:val="center"/>
              <w:rPr>
                <w:rFonts w:ascii="华文细黑" w:hAnsi="华文细黑" w:eastAsia="华文细黑"/>
                <w:b/>
                <w:sz w:val="24"/>
                <w:szCs w:val="24"/>
              </w:rPr>
            </w:pPr>
          </w:p>
          <w:p>
            <w:pPr>
              <w:spacing w:after="0" w:line="260" w:lineRule="exact"/>
              <w:contextualSpacing/>
              <w:jc w:val="center"/>
              <w:rPr>
                <w:rFonts w:ascii="华文细黑" w:hAnsi="华文细黑" w:eastAsia="华文细黑"/>
                <w:b/>
                <w:sz w:val="24"/>
                <w:szCs w:val="24"/>
              </w:rPr>
            </w:pPr>
          </w:p>
          <w:p>
            <w:pPr>
              <w:spacing w:line="260" w:lineRule="exact"/>
              <w:contextualSpacing/>
              <w:jc w:val="center"/>
              <w:rPr>
                <w:rFonts w:ascii="华文细黑" w:hAnsi="华文细黑" w:eastAsia="华文细黑"/>
                <w:b/>
                <w:sz w:val="24"/>
                <w:szCs w:val="24"/>
              </w:rPr>
            </w:pPr>
            <w:r>
              <w:rPr>
                <w:rFonts w:hint="eastAsia" w:ascii="华文细黑" w:hAnsi="华文细黑" w:eastAsia="华文细黑"/>
                <w:b/>
                <w:sz w:val="24"/>
                <w:szCs w:val="24"/>
              </w:rPr>
              <w:t>服务能力</w:t>
            </w: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公共服务</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专业服务</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1.基地是否具备云服务、共享服务、协同服务功能，以及为入驻企业提供仓储物流、摄影美工、客服托管、代运营、会计事务、专利申办、评估咨询、法律支持等专业服务。</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2.有关融资、人才、创业、跨境电商等服务不在其他专业服务中体现。</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3.具体指标解释：</w:t>
            </w:r>
            <w:r>
              <w:rPr>
                <w:rFonts w:hint="eastAsia" w:ascii="仿宋_GB2312" w:eastAsia="仿宋_GB2312" w:hAnsiTheme="minorEastAsia"/>
                <w:sz w:val="21"/>
                <w:szCs w:val="21"/>
              </w:rPr>
              <w:fldChar w:fldCharType="begin"/>
            </w:r>
            <w:r>
              <w:rPr>
                <w:rFonts w:hint="eastAsia" w:ascii="仿宋_GB2312" w:eastAsia="仿宋_GB2312" w:hAnsiTheme="minorEastAsia"/>
                <w:sz w:val="21"/>
                <w:szCs w:val="21"/>
              </w:rPr>
              <w:instrText xml:space="preserve">= 1 \* GB3</w:instrText>
            </w:r>
            <w:r>
              <w:rPr>
                <w:rFonts w:hint="eastAsia" w:ascii="仿宋_GB2312" w:eastAsia="仿宋_GB2312" w:hAnsiTheme="minorEastAsia"/>
                <w:sz w:val="21"/>
                <w:szCs w:val="21"/>
              </w:rPr>
              <w:fldChar w:fldCharType="separate"/>
            </w:r>
            <w:r>
              <w:rPr>
                <w:rFonts w:hint="eastAsia" w:ascii="仿宋_GB2312" w:eastAsia="仿宋_GB2312" w:hAnsiTheme="minorEastAsia"/>
                <w:sz w:val="21"/>
                <w:szCs w:val="21"/>
              </w:rPr>
              <w:t>①</w:t>
            </w:r>
            <w:r>
              <w:rPr>
                <w:rFonts w:hint="eastAsia" w:ascii="仿宋_GB2312" w:eastAsia="仿宋_GB2312" w:hAnsiTheme="minorEastAsia"/>
                <w:sz w:val="21"/>
                <w:szCs w:val="21"/>
              </w:rPr>
              <w:fldChar w:fldCharType="end"/>
            </w:r>
            <w:r>
              <w:rPr>
                <w:rFonts w:hint="eastAsia" w:ascii="仿宋_GB2312" w:eastAsia="仿宋_GB2312" w:hAnsiTheme="minorEastAsia"/>
                <w:sz w:val="21"/>
                <w:szCs w:val="21"/>
              </w:rPr>
              <w:t>云服务：通过网络以按需使用、协作共享等方式，为用户提供数据储存、互联网应用部署和运行管理等服务；为流通企业、外贸企业提供通用基础软件服务，降低企业经营成本。</w:t>
            </w:r>
            <w:r>
              <w:rPr>
                <w:rFonts w:hint="eastAsia" w:ascii="仿宋_GB2312" w:eastAsia="仿宋_GB2312" w:hAnsiTheme="minorEastAsia"/>
                <w:sz w:val="21"/>
                <w:szCs w:val="21"/>
              </w:rPr>
              <w:fldChar w:fldCharType="begin"/>
            </w:r>
            <w:r>
              <w:rPr>
                <w:rFonts w:hint="eastAsia" w:ascii="仿宋_GB2312" w:eastAsia="仿宋_GB2312" w:hAnsiTheme="minorEastAsia"/>
                <w:sz w:val="21"/>
                <w:szCs w:val="21"/>
              </w:rPr>
              <w:instrText xml:space="preserve">= 2 \* GB3</w:instrText>
            </w:r>
            <w:r>
              <w:rPr>
                <w:rFonts w:hint="eastAsia" w:ascii="仿宋_GB2312" w:eastAsia="仿宋_GB2312" w:hAnsiTheme="minorEastAsia"/>
                <w:sz w:val="21"/>
                <w:szCs w:val="21"/>
              </w:rPr>
              <w:fldChar w:fldCharType="separate"/>
            </w:r>
            <w:r>
              <w:rPr>
                <w:rFonts w:hint="eastAsia" w:ascii="仿宋_GB2312" w:eastAsia="仿宋_GB2312" w:hAnsiTheme="minorEastAsia"/>
                <w:sz w:val="21"/>
                <w:szCs w:val="21"/>
              </w:rPr>
              <w:t>②</w:t>
            </w:r>
            <w:r>
              <w:rPr>
                <w:rFonts w:hint="eastAsia" w:ascii="仿宋_GB2312" w:eastAsia="仿宋_GB2312" w:hAnsiTheme="minorEastAsia"/>
                <w:sz w:val="21"/>
                <w:szCs w:val="21"/>
              </w:rPr>
              <w:fldChar w:fldCharType="end"/>
            </w:r>
            <w:r>
              <w:rPr>
                <w:rFonts w:hint="eastAsia" w:ascii="仿宋_GB2312" w:eastAsia="仿宋_GB2312" w:hAnsiTheme="minorEastAsia"/>
                <w:sz w:val="21"/>
                <w:szCs w:val="21"/>
              </w:rPr>
              <w:t>共享服务：通过共享方式提升社会资源效用、优化资源配置、促进灵活就业。</w:t>
            </w:r>
            <w:r>
              <w:rPr>
                <w:rFonts w:hint="eastAsia" w:ascii="仿宋_GB2312" w:eastAsia="仿宋_GB2312" w:hAnsiTheme="minorEastAsia"/>
                <w:sz w:val="21"/>
                <w:szCs w:val="21"/>
              </w:rPr>
              <w:fldChar w:fldCharType="begin"/>
            </w:r>
            <w:r>
              <w:rPr>
                <w:rFonts w:hint="eastAsia" w:ascii="仿宋_GB2312" w:eastAsia="仿宋_GB2312" w:hAnsiTheme="minorEastAsia"/>
                <w:sz w:val="21"/>
                <w:szCs w:val="21"/>
              </w:rPr>
              <w:instrText xml:space="preserve">= 3 \* GB3</w:instrText>
            </w:r>
            <w:r>
              <w:rPr>
                <w:rFonts w:hint="eastAsia" w:ascii="仿宋_GB2312" w:eastAsia="仿宋_GB2312" w:hAnsiTheme="minorEastAsia"/>
                <w:sz w:val="21"/>
                <w:szCs w:val="21"/>
              </w:rPr>
              <w:fldChar w:fldCharType="separate"/>
            </w:r>
            <w:r>
              <w:rPr>
                <w:rFonts w:hint="eastAsia" w:ascii="仿宋_GB2312" w:eastAsia="仿宋_GB2312" w:hAnsiTheme="minorEastAsia"/>
                <w:sz w:val="21"/>
                <w:szCs w:val="21"/>
              </w:rPr>
              <w:t>③</w:t>
            </w:r>
            <w:r>
              <w:rPr>
                <w:rFonts w:hint="eastAsia" w:ascii="仿宋_GB2312" w:eastAsia="仿宋_GB2312" w:hAnsiTheme="minorEastAsia"/>
                <w:sz w:val="21"/>
                <w:szCs w:val="21"/>
              </w:rPr>
              <w:fldChar w:fldCharType="end"/>
            </w:r>
            <w:r>
              <w:rPr>
                <w:rFonts w:hint="eastAsia" w:ascii="仿宋_GB2312" w:eastAsia="仿宋_GB2312" w:hAnsiTheme="minorEastAsia"/>
                <w:sz w:val="21"/>
                <w:szCs w:val="21"/>
              </w:rPr>
              <w:t>协同服务：创新资源整合，与科研院所、电商企业、孵化器等搭建新服务平台，服务创新创业；提升供应链上下游网络化协同制造水平，满足大规模客户个性化定制需求。</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各项服务提供机构、方式、相关管理规范文件等。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709" w:type="dxa"/>
            <w:vMerge w:val="continue"/>
            <w:vAlign w:val="center"/>
          </w:tcPr>
          <w:p>
            <w:pPr>
              <w:spacing w:line="260" w:lineRule="exact"/>
              <w:contextualSpacing/>
              <w:jc w:val="center"/>
              <w:rPr>
                <w:rFonts w:ascii="华文细黑" w:hAnsi="华文细黑" w:eastAsia="华文细黑"/>
                <w:b/>
                <w:sz w:val="24"/>
                <w:szCs w:val="24"/>
              </w:rP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行政服务</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1.基地是否为入驻企业提供工商注册、年审年检、税务登记、项目申报等便利服务。</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2.有关融资、人才、创业、跨境电商等服务不在其他行政便利化服务中体现。</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各项服务提供机构、方式、相关管理规范文件等。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09" w:type="dxa"/>
            <w:vMerge w:val="continue"/>
            <w:vAlign w:val="center"/>
          </w:tcPr>
          <w:p>
            <w:pPr>
              <w:spacing w:after="0" w:line="260" w:lineRule="exact"/>
              <w:contextualSpacing/>
              <w:jc w:val="center"/>
              <w:rPr>
                <w:rFonts w:ascii="华文细黑" w:hAnsi="华文细黑" w:eastAsia="华文细黑"/>
                <w:b/>
              </w:rPr>
            </w:pP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金融服务</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面向入驻直播电商企业的投资基金</w:t>
            </w:r>
          </w:p>
          <w:p>
            <w:pPr>
              <w:spacing w:after="0" w:line="260" w:lineRule="exact"/>
              <w:contextualSpacing/>
              <w:jc w:val="center"/>
              <w:rPr>
                <w:rFonts w:asciiTheme="minorEastAsia" w:hAnsiTheme="minorEastAsia"/>
                <w:b/>
              </w:rPr>
            </w:pPr>
            <w:r>
              <w:rPr>
                <w:rFonts w:hint="eastAsia" w:asciiTheme="minorEastAsia" w:hAnsiTheme="minorEastAsia"/>
                <w:b/>
              </w:rPr>
              <w:t>额度</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万元</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1.截至报告期末，基地自主或联合社会资本设立面向入驻直播电商企业的投资引导基金额度。</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2.聚焦于电商领域的投资基金额度，而非其他产业。</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基金设立、注册及相关证明材料。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获得基地金融服务的直播电商企业</w:t>
            </w:r>
          </w:p>
          <w:p>
            <w:pPr>
              <w:spacing w:after="0" w:line="260" w:lineRule="exact"/>
              <w:contextualSpacing/>
              <w:jc w:val="center"/>
              <w:rPr>
                <w:rFonts w:asciiTheme="minorEastAsia" w:hAnsiTheme="minorEastAsia"/>
                <w:b/>
              </w:rPr>
            </w:pPr>
            <w:r>
              <w:rPr>
                <w:rFonts w:hint="eastAsia" w:asciiTheme="minorEastAsia" w:hAnsiTheme="minorEastAsia"/>
                <w:b/>
              </w:rPr>
              <w:t>数量</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个</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报告期内获得基地金融服务的直播电商企业数量，包括但不限于股权投资、借贷服务等。</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企业名单，列明以下内容：企业名称、企业法人、联系方式、主营业务。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直播电商企业获得投融资总额</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万元</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报告期内基地直播电商企业通过基地设立的投资基金或基地引荐的方式获得的投融资总额。</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融资明细，列明以下内容：获得融资企业名单（企业名称、企业法人、联系方式、主营业务）、各企业融资金额、资金来源、融资类型；可以与指标“获得基地金融服务的直播电商企业数量”的证明材料共用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after="0" w:line="260" w:lineRule="exact"/>
              <w:contextualSpacing/>
              <w:rPr>
                <w:rFonts w:ascii="楷体" w:hAnsi="楷体" w:eastAsia="楷体"/>
                <w:sz w:val="24"/>
                <w:szCs w:val="24"/>
              </w:rPr>
            </w:pPr>
            <w:r>
              <w:rPr>
                <w:rFonts w:hint="eastAsia" w:ascii="楷体" w:hAnsi="楷体" w:eastAsia="楷体"/>
                <w:sz w:val="24"/>
                <w:szCs w:val="24"/>
              </w:rPr>
              <w:t>人才服务</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直播电商人才引进与培养政策</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截至报告期末，基地所在区是否设立或实施区域性的直播电商人才引进政策；是否设立或实施区域性的直播电商人才培养政策。</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政策文件名称、复印件。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年度直播电商培训人次</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人次</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1.报告期内，基地组织的直播电商培训总人次数。</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2.其他领域培训不计入在内。</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明细列表，包括培训班或培训活动主题、日期、培训人数、培训照片、批准文件等。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孵化服务</w:t>
            </w:r>
          </w:p>
          <w:p>
            <w:pPr>
              <w:spacing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在孵直播电商企业数量</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个</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报告期末基地孵化器内在孵直播电商企业数量。</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在孵企业名单，包括企业名称、办公地址、入驻时间等。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企业孵化</w:t>
            </w:r>
          </w:p>
          <w:p>
            <w:pPr>
              <w:spacing w:after="0" w:line="260" w:lineRule="exact"/>
              <w:contextualSpacing/>
              <w:jc w:val="center"/>
              <w:rPr>
                <w:rFonts w:asciiTheme="minorEastAsia" w:hAnsiTheme="minorEastAsia"/>
                <w:b/>
              </w:rPr>
            </w:pPr>
            <w:r>
              <w:rPr>
                <w:rFonts w:hint="eastAsia" w:asciiTheme="minorEastAsia" w:hAnsiTheme="minorEastAsia"/>
                <w:b/>
              </w:rPr>
              <w:t>成功率</w:t>
            </w:r>
          </w:p>
        </w:tc>
        <w:tc>
          <w:tcPr>
            <w:tcW w:w="709" w:type="dxa"/>
            <w:vAlign w:val="center"/>
          </w:tcPr>
          <w:p>
            <w:pPr>
              <w:spacing w:after="0" w:line="260" w:lineRule="exact"/>
              <w:contextualSpacing/>
              <w:jc w:val="center"/>
              <w:rPr>
                <w:rFonts w:asciiTheme="minorEastAsia" w:hAnsiTheme="minorEastAsia"/>
                <w:b/>
                <w:sz w:val="18"/>
                <w:szCs w:val="18"/>
              </w:rPr>
            </w:pPr>
            <w:r>
              <w:rPr>
                <w:rFonts w:asciiTheme="minorEastAsia" w:hAnsiTheme="minorEastAsia"/>
                <w:b/>
                <w:sz w:val="18"/>
                <w:szCs w:val="18"/>
              </w:rPr>
              <w:t>%</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1.计算公式：报告期内孵化毕业企业数/（报告期末在孵企业数+报告期内孵化毕业企业数）×100%。</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2.该指标如果填报100%，“在孵直播电商企业数量”应为0。</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孵化毕业企业名单，包括企业名称、企业法人、联系方式、主营业务、营业地址。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709" w:type="dxa"/>
            <w:vMerge w:val="continue"/>
            <w:tcBorders>
              <w:bottom w:val="single" w:color="auto" w:sz="4" w:space="0"/>
            </w:tcBorders>
            <w:vAlign w:val="center"/>
          </w:tcPr>
          <w:p>
            <w:pPr>
              <w:spacing w:after="0" w:line="260" w:lineRule="exact"/>
              <w:contextualSpacing/>
              <w:jc w:val="center"/>
            </w:pPr>
          </w:p>
        </w:tc>
        <w:tc>
          <w:tcPr>
            <w:tcW w:w="709" w:type="dxa"/>
            <w:vMerge w:val="continue"/>
            <w:tcBorders>
              <w:bottom w:val="single" w:color="auto" w:sz="4" w:space="0"/>
            </w:tcBorders>
            <w:vAlign w:val="center"/>
          </w:tcPr>
          <w:p>
            <w:pPr>
              <w:spacing w:line="260" w:lineRule="exact"/>
              <w:contextualSpacing/>
              <w:jc w:val="center"/>
              <w:rPr>
                <w:rFonts w:ascii="楷体" w:hAnsi="楷体" w:eastAsia="楷体"/>
                <w:sz w:val="24"/>
                <w:szCs w:val="24"/>
              </w:rPr>
            </w:pPr>
          </w:p>
        </w:tc>
        <w:tc>
          <w:tcPr>
            <w:tcW w:w="2232" w:type="dxa"/>
            <w:tcBorders>
              <w:bottom w:val="single" w:color="auto" w:sz="4" w:space="0"/>
            </w:tcBorders>
            <w:vAlign w:val="center"/>
          </w:tcPr>
          <w:p>
            <w:pPr>
              <w:spacing w:line="260" w:lineRule="exact"/>
              <w:contextualSpacing/>
              <w:jc w:val="center"/>
              <w:rPr>
                <w:rFonts w:asciiTheme="minorEastAsia" w:hAnsiTheme="minorEastAsia"/>
                <w:b/>
              </w:rPr>
            </w:pPr>
            <w:r>
              <w:rPr>
                <w:rFonts w:hint="eastAsia" w:asciiTheme="minorEastAsia" w:hAnsiTheme="minorEastAsia"/>
                <w:b/>
              </w:rPr>
              <w:t>创建商标品牌数</w:t>
            </w:r>
          </w:p>
          <w:p>
            <w:pPr>
              <w:spacing w:line="260" w:lineRule="exact"/>
              <w:contextualSpacing/>
              <w:jc w:val="center"/>
              <w:rPr>
                <w:rFonts w:asciiTheme="minorEastAsia" w:hAnsiTheme="minorEastAsia"/>
                <w:b/>
              </w:rPr>
            </w:pPr>
          </w:p>
        </w:tc>
        <w:tc>
          <w:tcPr>
            <w:tcW w:w="709" w:type="dxa"/>
            <w:tcBorders>
              <w:bottom w:val="single" w:color="auto" w:sz="4" w:space="0"/>
            </w:tcBorders>
            <w:vAlign w:val="center"/>
          </w:tcPr>
          <w:p>
            <w:pPr>
              <w:spacing w:line="260" w:lineRule="exact"/>
              <w:contextualSpacing/>
              <w:jc w:val="center"/>
              <w:rPr>
                <w:rFonts w:asciiTheme="minorEastAsia" w:hAnsiTheme="minorEastAsia"/>
                <w:b/>
                <w:sz w:val="18"/>
                <w:szCs w:val="18"/>
              </w:rPr>
            </w:pPr>
            <w:r>
              <w:rPr>
                <w:rFonts w:hint="eastAsia" w:asciiTheme="minorEastAsia" w:hAnsiTheme="minorEastAsia"/>
                <w:b/>
                <w:sz w:val="18"/>
                <w:szCs w:val="18"/>
              </w:rPr>
              <w:t>个</w:t>
            </w:r>
          </w:p>
          <w:p>
            <w:pPr>
              <w:spacing w:line="260" w:lineRule="exact"/>
              <w:contextualSpacing/>
              <w:jc w:val="center"/>
              <w:rPr>
                <w:rFonts w:asciiTheme="minorEastAsia" w:hAnsiTheme="minorEastAsia"/>
                <w:b/>
                <w:sz w:val="18"/>
                <w:szCs w:val="18"/>
              </w:rPr>
            </w:pPr>
          </w:p>
        </w:tc>
        <w:tc>
          <w:tcPr>
            <w:tcW w:w="5559" w:type="dxa"/>
            <w:tcBorders>
              <w:bottom w:val="single" w:color="auto" w:sz="4" w:space="0"/>
            </w:tcBorders>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1.基地内直播电商企业注册的商标、产品品牌或服务品牌数量，以及其中开展网络销售的农产品品牌数量。</w:t>
            </w:r>
          </w:p>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2.该商标品牌的创建应直接来源于企业直播电商交易或服务经营活动。</w:t>
            </w:r>
          </w:p>
          <w:p>
            <w:pPr>
              <w:spacing w:line="260" w:lineRule="exact"/>
              <w:contextualSpacing/>
              <w:rPr>
                <w:rFonts w:ascii="仿宋_GB2312" w:eastAsia="仿宋_GB2312" w:hAnsiTheme="minorEastAsia"/>
                <w:sz w:val="21"/>
                <w:szCs w:val="21"/>
              </w:rPr>
            </w:pPr>
          </w:p>
        </w:tc>
        <w:tc>
          <w:tcPr>
            <w:tcW w:w="3402" w:type="dxa"/>
            <w:tcBorders>
              <w:bottom w:val="single" w:color="auto" w:sz="4" w:space="0"/>
            </w:tcBorders>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商标图形、商标名称、注册号、登记日期、有效期限等。</w:t>
            </w:r>
          </w:p>
          <w:p>
            <w:pPr>
              <w:spacing w:line="260" w:lineRule="exact"/>
              <w:contextualSpacing/>
              <w:rPr>
                <w:rFonts w:ascii="仿宋_GB2312" w:eastAsia="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环境营造</w:t>
            </w:r>
          </w:p>
        </w:tc>
        <w:tc>
          <w:tcPr>
            <w:tcW w:w="2232" w:type="dxa"/>
            <w:vAlign w:val="center"/>
          </w:tcPr>
          <w:p>
            <w:pPr>
              <w:spacing w:line="260" w:lineRule="exact"/>
              <w:contextualSpacing/>
              <w:jc w:val="center"/>
              <w:rPr>
                <w:rFonts w:asciiTheme="minorEastAsia" w:hAnsiTheme="minorEastAsia"/>
                <w:b/>
              </w:rPr>
            </w:pPr>
            <w:r>
              <w:rPr>
                <w:rFonts w:hint="eastAsia" w:asciiTheme="minorEastAsia" w:hAnsiTheme="minorEastAsia"/>
                <w:b/>
              </w:rPr>
              <w:t>统计监测</w:t>
            </w:r>
          </w:p>
        </w:tc>
        <w:tc>
          <w:tcPr>
            <w:tcW w:w="709" w:type="dxa"/>
            <w:vAlign w:val="center"/>
          </w:tcPr>
          <w:p>
            <w:pPr>
              <w:spacing w:line="260" w:lineRule="exact"/>
              <w:contextualSpacing/>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截至报告期末，基地是否开展直播电商统计监测工作；是否及时上报信息、数据并保证数据的真实准确。</w:t>
            </w:r>
          </w:p>
        </w:tc>
        <w:tc>
          <w:tcPr>
            <w:tcW w:w="3402" w:type="dxa"/>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实施直播电商统计监测的制度、方案相关文件及表格等。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电商专项政策支持</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1.截至报告期末，基地所在区是否制定并实施支持基地直播电商发展和示范建设的专项政策。</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2.不应以所在地区的普惠性质的扶持政策代替基地的电商专项政策。</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3.不应以非电商政策代替。</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政策文件名称、编号、复印件等。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电商基地开园</w:t>
            </w:r>
          </w:p>
          <w:p>
            <w:pPr>
              <w:spacing w:after="0" w:line="260" w:lineRule="exact"/>
              <w:contextualSpacing/>
              <w:jc w:val="center"/>
              <w:rPr>
                <w:rFonts w:asciiTheme="minorEastAsia" w:hAnsiTheme="minorEastAsia"/>
                <w:b/>
              </w:rPr>
            </w:pPr>
            <w:r>
              <w:rPr>
                <w:rFonts w:hint="eastAsia" w:asciiTheme="minorEastAsia" w:hAnsiTheme="minorEastAsia"/>
                <w:b/>
              </w:rPr>
              <w:t>运营年限</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年</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1.截至报告期末，基地开园运营年限。</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2.按照基地自第一家直播电商企业入驻之日计算，此时间点若早于正式开园时间，按开园时间计算。</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3.可以细化到月份，如2年8个月。</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4.不应是工业区、高新区、经开区等其他类型园区设立或建区年限。</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有关批复文件、新闻报道等。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09" w:type="dxa"/>
            <w:vMerge w:val="restart"/>
            <w:vAlign w:val="center"/>
          </w:tcPr>
          <w:p>
            <w:pPr>
              <w:spacing w:after="0" w:line="260" w:lineRule="exact"/>
              <w:contextualSpacing/>
              <w:jc w:val="center"/>
            </w:pPr>
            <w:r>
              <w:rPr>
                <w:rFonts w:hint="eastAsia" w:ascii="华文细黑" w:hAnsi="华文细黑" w:eastAsia="华文细黑"/>
                <w:b/>
                <w:sz w:val="24"/>
                <w:szCs w:val="24"/>
              </w:rPr>
              <w:t>发展能力</w:t>
            </w:r>
          </w:p>
        </w:tc>
        <w:tc>
          <w:tcPr>
            <w:tcW w:w="709" w:type="dxa"/>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运营服务</w:t>
            </w:r>
          </w:p>
        </w:tc>
        <w:tc>
          <w:tcPr>
            <w:tcW w:w="2232" w:type="dxa"/>
            <w:vAlign w:val="center"/>
          </w:tcPr>
          <w:p>
            <w:pPr>
              <w:spacing w:line="260" w:lineRule="exact"/>
              <w:contextualSpacing/>
              <w:jc w:val="center"/>
              <w:rPr>
                <w:rFonts w:asciiTheme="minorEastAsia" w:hAnsiTheme="minorEastAsia"/>
                <w:b/>
              </w:rPr>
            </w:pPr>
            <w:r>
              <w:rPr>
                <w:rFonts w:hint="eastAsia" w:asciiTheme="minorEastAsia" w:hAnsiTheme="minorEastAsia"/>
                <w:b/>
              </w:rPr>
              <w:t>运营服务创新</w:t>
            </w:r>
          </w:p>
        </w:tc>
        <w:tc>
          <w:tcPr>
            <w:tcW w:w="709" w:type="dxa"/>
            <w:vAlign w:val="center"/>
          </w:tcPr>
          <w:p>
            <w:pPr>
              <w:spacing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基地运营单位围绕园区运营、园企互动、生态建设等方面进行模式创新情况。</w:t>
            </w:r>
          </w:p>
        </w:tc>
        <w:tc>
          <w:tcPr>
            <w:tcW w:w="3402" w:type="dxa"/>
            <w:vAlign w:val="center"/>
          </w:tcPr>
          <w:p>
            <w:pPr>
              <w:spacing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具体做法、取得进展及成效，可以提供具体案例。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after="0" w:line="260" w:lineRule="exact"/>
              <w:contextualSpacing/>
              <w:jc w:val="center"/>
              <w:rPr>
                <w:rFonts w:ascii="楷体" w:hAnsi="楷体" w:eastAsia="楷体"/>
                <w:sz w:val="24"/>
                <w:szCs w:val="24"/>
              </w:rPr>
            </w:pPr>
            <w:r>
              <w:rPr>
                <w:rFonts w:hint="eastAsia" w:ascii="楷体" w:hAnsi="楷体" w:eastAsia="楷体"/>
                <w:sz w:val="24"/>
                <w:szCs w:val="24"/>
              </w:rPr>
              <w:t>发展潜力</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扶持资金</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截至报告期末，基地是否设立专项直播电商扶持资金并积极落实。</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资金设置相关文件，资金使用去向证明、资金申请材料等。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规划发展</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1.截至报告期末，基地是否根据自身情况编制合理的发展规划，科学指导基地建设与未来发展。</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2.不应以基地所在城市或区域的规划代替基地规划。</w:t>
            </w:r>
          </w:p>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3.电商领域专业规划而非其他。</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规划文件、实施方案、行动计划、可行性研究报告等。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after="0"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产学研合作</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截至报告期末，基地是否与大专院校、研究机构建立合作机制，开展直播电商研究，应用新技术、开发新产品。</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相关文件、新闻报道等。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09" w:type="dxa"/>
            <w:vMerge w:val="continue"/>
            <w:vAlign w:val="center"/>
          </w:tcPr>
          <w:p>
            <w:pPr>
              <w:spacing w:after="0" w:line="260" w:lineRule="exact"/>
              <w:contextualSpacing/>
              <w:jc w:val="center"/>
            </w:pPr>
          </w:p>
        </w:tc>
        <w:tc>
          <w:tcPr>
            <w:tcW w:w="709" w:type="dxa"/>
            <w:vMerge w:val="restart"/>
            <w:vAlign w:val="center"/>
          </w:tcPr>
          <w:p>
            <w:pPr>
              <w:spacing w:line="260" w:lineRule="exact"/>
              <w:contextualSpacing/>
              <w:jc w:val="center"/>
              <w:rPr>
                <w:rFonts w:ascii="楷体" w:hAnsi="楷体" w:eastAsia="楷体"/>
                <w:sz w:val="24"/>
                <w:szCs w:val="24"/>
              </w:rPr>
            </w:pPr>
            <w:r>
              <w:rPr>
                <w:rFonts w:hint="eastAsia" w:ascii="楷体" w:hAnsi="楷体" w:eastAsia="楷体"/>
                <w:sz w:val="24"/>
                <w:szCs w:val="24"/>
              </w:rPr>
              <w:t>创新应用</w:t>
            </w: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新技术创新</w:t>
            </w:r>
          </w:p>
          <w:p>
            <w:pPr>
              <w:spacing w:after="0" w:line="260" w:lineRule="exact"/>
              <w:contextualSpacing/>
              <w:jc w:val="center"/>
              <w:rPr>
                <w:rFonts w:asciiTheme="minorEastAsia" w:hAnsiTheme="minorEastAsia"/>
                <w:b/>
              </w:rPr>
            </w:pPr>
            <w:r>
              <w:rPr>
                <w:rFonts w:hint="eastAsia" w:asciiTheme="minorEastAsia" w:hAnsiTheme="minorEastAsia"/>
                <w:b/>
              </w:rPr>
              <w:t>应用成果</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个</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截至报告期末，基地内以自有技术创新作为核心竞争力并取得明显成效的直播电商企业数量。</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技术创新电商企业名单，自有技术创新成果相关证明（包括但不限于专利证书、权威机构排名、相关荣誉等），可以提供具体案例。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新模式创新</w:t>
            </w:r>
          </w:p>
          <w:p>
            <w:pPr>
              <w:spacing w:after="0" w:line="260" w:lineRule="exact"/>
              <w:contextualSpacing/>
              <w:jc w:val="center"/>
              <w:rPr>
                <w:rFonts w:asciiTheme="minorEastAsia" w:hAnsiTheme="minorEastAsia"/>
                <w:b/>
              </w:rPr>
            </w:pPr>
            <w:r>
              <w:rPr>
                <w:rFonts w:hint="eastAsia" w:asciiTheme="minorEastAsia" w:hAnsiTheme="minorEastAsia"/>
                <w:b/>
              </w:rPr>
              <w:t>鼓励措施</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是/否</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截至报告期末，是否制定激励基地内电商企业在商业模式领域积极开展创新应用的措施。</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制定措施政策文件、具体做法及取得成效，可以提供具体案例。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09" w:type="dxa"/>
            <w:vMerge w:val="continue"/>
            <w:vAlign w:val="center"/>
          </w:tcPr>
          <w:p>
            <w:pPr>
              <w:spacing w:after="0" w:line="260" w:lineRule="exact"/>
              <w:contextualSpacing/>
              <w:jc w:val="center"/>
            </w:pPr>
          </w:p>
        </w:tc>
        <w:tc>
          <w:tcPr>
            <w:tcW w:w="709" w:type="dxa"/>
            <w:vMerge w:val="continue"/>
            <w:vAlign w:val="center"/>
          </w:tcPr>
          <w:p>
            <w:pPr>
              <w:spacing w:line="260" w:lineRule="exact"/>
              <w:contextualSpacing/>
              <w:jc w:val="center"/>
              <w:rPr>
                <w:rFonts w:ascii="楷体" w:hAnsi="楷体" w:eastAsia="楷体"/>
                <w:sz w:val="24"/>
                <w:szCs w:val="24"/>
              </w:rPr>
            </w:pPr>
          </w:p>
        </w:tc>
        <w:tc>
          <w:tcPr>
            <w:tcW w:w="2232" w:type="dxa"/>
            <w:vAlign w:val="center"/>
          </w:tcPr>
          <w:p>
            <w:pPr>
              <w:spacing w:after="0" w:line="260" w:lineRule="exact"/>
              <w:contextualSpacing/>
              <w:jc w:val="center"/>
              <w:rPr>
                <w:rFonts w:asciiTheme="minorEastAsia" w:hAnsiTheme="minorEastAsia"/>
                <w:b/>
              </w:rPr>
            </w:pPr>
            <w:r>
              <w:rPr>
                <w:rFonts w:hint="eastAsia" w:asciiTheme="minorEastAsia" w:hAnsiTheme="minorEastAsia"/>
                <w:b/>
              </w:rPr>
              <w:t>新模式创新</w:t>
            </w:r>
          </w:p>
          <w:p>
            <w:pPr>
              <w:spacing w:after="0" w:line="260" w:lineRule="exact"/>
              <w:contextualSpacing/>
              <w:jc w:val="center"/>
              <w:rPr>
                <w:rFonts w:asciiTheme="minorEastAsia" w:hAnsiTheme="minorEastAsia"/>
                <w:b/>
              </w:rPr>
            </w:pPr>
            <w:r>
              <w:rPr>
                <w:rFonts w:hint="eastAsia" w:asciiTheme="minorEastAsia" w:hAnsiTheme="minorEastAsia"/>
                <w:b/>
              </w:rPr>
              <w:t>应用成果</w:t>
            </w:r>
          </w:p>
        </w:tc>
        <w:tc>
          <w:tcPr>
            <w:tcW w:w="709" w:type="dxa"/>
            <w:vAlign w:val="center"/>
          </w:tcPr>
          <w:p>
            <w:pPr>
              <w:spacing w:after="0" w:line="260" w:lineRule="exact"/>
              <w:contextualSpacing/>
              <w:jc w:val="center"/>
              <w:rPr>
                <w:rFonts w:asciiTheme="minorEastAsia" w:hAnsiTheme="minorEastAsia"/>
                <w:b/>
                <w:sz w:val="18"/>
                <w:szCs w:val="18"/>
              </w:rPr>
            </w:pPr>
            <w:r>
              <w:rPr>
                <w:rFonts w:hint="eastAsia" w:asciiTheme="minorEastAsia" w:hAnsiTheme="minorEastAsia"/>
                <w:b/>
                <w:sz w:val="18"/>
                <w:szCs w:val="18"/>
              </w:rPr>
              <w:t>个</w:t>
            </w:r>
          </w:p>
        </w:tc>
        <w:tc>
          <w:tcPr>
            <w:tcW w:w="5559"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截至报告期末，基地内依托自有商业模式创新作为核心竞争力，提供新产品或新服务并取得明显成效的直播电商企业数量。</w:t>
            </w:r>
          </w:p>
        </w:tc>
        <w:tc>
          <w:tcPr>
            <w:tcW w:w="3402" w:type="dxa"/>
            <w:vAlign w:val="center"/>
          </w:tcPr>
          <w:p>
            <w:pPr>
              <w:spacing w:after="0" w:line="260" w:lineRule="exact"/>
              <w:contextualSpacing/>
              <w:rPr>
                <w:rFonts w:ascii="仿宋_GB2312" w:eastAsia="仿宋_GB2312" w:hAnsiTheme="minorEastAsia"/>
                <w:sz w:val="21"/>
                <w:szCs w:val="21"/>
              </w:rPr>
            </w:pPr>
            <w:r>
              <w:rPr>
                <w:rFonts w:hint="eastAsia" w:ascii="仿宋_GB2312" w:eastAsia="仿宋_GB2312" w:hAnsiTheme="minorEastAsia"/>
                <w:sz w:val="21"/>
                <w:szCs w:val="21"/>
              </w:rPr>
              <w:t>模式创新电商企业名单，可以提供具体案例。</w:t>
            </w:r>
          </w:p>
        </w:tc>
      </w:tr>
    </w:tbl>
    <w:p/>
    <w:sectPr>
      <w:footerReference r:id="rId5" w:type="default"/>
      <w:pgSz w:w="16838" w:h="11906" w:orient="landscape"/>
      <w:pgMar w:top="1560" w:right="1440" w:bottom="156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2103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1A05CF8"/>
    <w:rsid w:val="000D6AB7"/>
    <w:rsid w:val="00185B16"/>
    <w:rsid w:val="0020014E"/>
    <w:rsid w:val="00212DB8"/>
    <w:rsid w:val="0027128C"/>
    <w:rsid w:val="00295528"/>
    <w:rsid w:val="002F275F"/>
    <w:rsid w:val="00306442"/>
    <w:rsid w:val="00317B14"/>
    <w:rsid w:val="003204C1"/>
    <w:rsid w:val="00354A97"/>
    <w:rsid w:val="00370E00"/>
    <w:rsid w:val="003B5789"/>
    <w:rsid w:val="0053014C"/>
    <w:rsid w:val="00551306"/>
    <w:rsid w:val="005B1A78"/>
    <w:rsid w:val="00650BC3"/>
    <w:rsid w:val="006976E6"/>
    <w:rsid w:val="006D0F5F"/>
    <w:rsid w:val="00733B38"/>
    <w:rsid w:val="0074554F"/>
    <w:rsid w:val="00767A80"/>
    <w:rsid w:val="00796695"/>
    <w:rsid w:val="007F313A"/>
    <w:rsid w:val="00922136"/>
    <w:rsid w:val="00974ADC"/>
    <w:rsid w:val="00B00C9F"/>
    <w:rsid w:val="00B334E0"/>
    <w:rsid w:val="00B611FB"/>
    <w:rsid w:val="00B9592C"/>
    <w:rsid w:val="00BB2C9B"/>
    <w:rsid w:val="00C0704E"/>
    <w:rsid w:val="00C2277B"/>
    <w:rsid w:val="00CB6324"/>
    <w:rsid w:val="00CF1944"/>
    <w:rsid w:val="00D7294A"/>
    <w:rsid w:val="00E90478"/>
    <w:rsid w:val="00EC3F70"/>
    <w:rsid w:val="00EE420A"/>
    <w:rsid w:val="00F63F85"/>
    <w:rsid w:val="00F73111"/>
    <w:rsid w:val="00F774D8"/>
    <w:rsid w:val="00FE4F26"/>
    <w:rsid w:val="209A624E"/>
    <w:rsid w:val="21A05CF8"/>
    <w:rsid w:val="24F24080"/>
    <w:rsid w:val="721420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540</Words>
  <Characters>3083</Characters>
  <Lines>25</Lines>
  <Paragraphs>7</Paragraphs>
  <TotalTime>271</TotalTime>
  <ScaleCrop>false</ScaleCrop>
  <LinksUpToDate>false</LinksUpToDate>
  <CharactersWithSpaces>3616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2021-09-10T08:32:00Z</dcterms:created>
  <dc:creator>陈灏</dc:creator>
  <cp:lastModifiedBy>suixf</cp:lastModifiedBy>
  <cp:lastPrinted>2021-10-27T02:05:00Z</cp:lastPrinted>
  <dcterms:modified xsi:type="dcterms:W3CDTF">2021-11-01T07:14:17Z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9FE85B0C06BB4FEDB8DF9500E530B573</vt:lpwstr>
  </property>
</Properties>
</file>