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1" w:rsidRPr="00BC5804" w:rsidRDefault="00DE3701" w:rsidP="00DE3701">
      <w:pPr>
        <w:jc w:val="left"/>
        <w:outlineLvl w:val="0"/>
        <w:rPr>
          <w:rFonts w:ascii="黑体" w:eastAsia="黑体" w:hAnsi="黑体"/>
          <w:color w:val="000000"/>
          <w:sz w:val="32"/>
          <w:szCs w:val="22"/>
        </w:rPr>
      </w:pPr>
      <w:r w:rsidRPr="00BC5804">
        <w:rPr>
          <w:rFonts w:ascii="黑体" w:eastAsia="黑体" w:hAnsi="黑体" w:hint="eastAsia"/>
          <w:color w:val="000000"/>
          <w:sz w:val="32"/>
          <w:szCs w:val="22"/>
        </w:rPr>
        <w:t>附件</w:t>
      </w:r>
      <w:r w:rsidRPr="00BC5804">
        <w:rPr>
          <w:rFonts w:ascii="黑体" w:eastAsia="黑体" w:hAnsi="黑体"/>
          <w:color w:val="000000"/>
          <w:sz w:val="32"/>
          <w:szCs w:val="22"/>
        </w:rPr>
        <w:t>1</w:t>
      </w:r>
    </w:p>
    <w:p w:rsidR="00DE3701" w:rsidRPr="00BC5804" w:rsidRDefault="00DE3701" w:rsidP="00DE3701">
      <w:pPr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 w:rsidRPr="00BC5804">
        <w:rPr>
          <w:rFonts w:ascii="方正小标宋简体" w:eastAsia="方正小标宋简体" w:hAnsi="黑体" w:hint="eastAsia"/>
          <w:color w:val="000000"/>
          <w:sz w:val="36"/>
          <w:szCs w:val="36"/>
        </w:rPr>
        <w:t>百货及购物中心上海能效“领跑者”评分标准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1665"/>
        <w:gridCol w:w="1943"/>
        <w:gridCol w:w="6566"/>
        <w:gridCol w:w="1079"/>
        <w:gridCol w:w="1020"/>
      </w:tblGrid>
      <w:tr w:rsidR="00DE3701" w:rsidRPr="00BC5804" w:rsidTr="002F6A75">
        <w:trPr>
          <w:trHeight w:val="465"/>
          <w:tblHeader/>
        </w:trPr>
        <w:tc>
          <w:tcPr>
            <w:tcW w:w="269" w:type="pct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序号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指标名称</w:t>
            </w:r>
          </w:p>
        </w:tc>
        <w:tc>
          <w:tcPr>
            <w:tcW w:w="3280" w:type="pct"/>
            <w:gridSpan w:val="2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评价内容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分值</w:t>
            </w:r>
          </w:p>
        </w:tc>
        <w:tc>
          <w:tcPr>
            <w:tcW w:w="392" w:type="pct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18"/>
              </w:rPr>
              <w:t>标准分</w:t>
            </w:r>
          </w:p>
        </w:tc>
      </w:tr>
      <w:tr w:rsidR="00DE3701" w:rsidRPr="00BC5804" w:rsidTr="002F6A75">
        <w:trPr>
          <w:trHeight w:val="42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1、能效水平项（70分）</w:t>
            </w: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 w:val="restart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能效水平</w:t>
            </w:r>
          </w:p>
        </w:tc>
        <w:tc>
          <w:tcPr>
            <w:tcW w:w="4089" w:type="pct"/>
            <w:gridSpan w:val="4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考察能效水平是否达到了先进值以及优于先进值的程度（对于既涉及国标又涉及地标的，以先进的为评价依据）</w:t>
            </w: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优于先进值</w:t>
            </w:r>
            <w:r w:rsidRPr="00BC580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0%及以上（含）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392" w:type="pct"/>
            <w:vMerge w:val="restart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优于先进值</w:t>
            </w:r>
            <w:r w:rsidRPr="00BC580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%（含）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优于先进值</w:t>
            </w:r>
            <w:r w:rsidRPr="00BC580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%（含）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优于先进值</w:t>
            </w:r>
            <w:r w:rsidRPr="00BC580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%（含）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193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优于先进值</w:t>
            </w:r>
            <w:r w:rsidRPr="00BC5804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%（含）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达到先进值</w:t>
            </w:r>
          </w:p>
        </w:tc>
        <w:tc>
          <w:tcPr>
            <w:tcW w:w="416" w:type="pct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405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2、节能措施项(30分)</w:t>
            </w:r>
          </w:p>
        </w:tc>
      </w:tr>
      <w:tr w:rsidR="00DE3701" w:rsidRPr="00BC5804" w:rsidTr="002F6A75">
        <w:trPr>
          <w:trHeight w:val="390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（未通过能源管理体系认证的，按照第2.1-2.3项进行评价；通过能源管理体系认证的，2.1-2.3项得满分，共9分）</w:t>
            </w: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能源管理制度及规章制度体系</w:t>
            </w: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1）根据国家节能法律法规和地方节能政策，制定完备的能源管理规章制度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</w:tr>
      <w:tr w:rsidR="00DE3701" w:rsidRPr="00BC5804" w:rsidTr="002F6A75">
        <w:trPr>
          <w:trHeight w:val="33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2）制定生产环节节能操作规范，日常用能行为规范</w:t>
            </w:r>
          </w:p>
        </w:tc>
        <w:tc>
          <w:tcPr>
            <w:tcW w:w="2531" w:type="pct"/>
            <w:shd w:val="clear" w:color="auto" w:fill="auto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（1）设立能源统计岗位，建立健全能源消费原始记录和统计台账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15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（2）建立健全节能激励约束机制，实施主要耗能设备能耗定额管理制度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705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（3）落实室内空调温控制度，严格室内空调温度管理，公共区域夏季温度设置不低于26℃，冬季温度不高于20℃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495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（4）加强用能设备维护管理，定期对照明，空调、供热、热水器、电梯、冷藏等（如有）用能设备进行巡检维护，开展大型耗能设备节能测试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0.4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3）建立能源管理政策和制度规范执行情况的监督机制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节能目标责任制和节能规划计划</w:t>
            </w: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1）节能目标责任制建设</w:t>
            </w: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建立年度节能目标责任制，有明确的节能目标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为完成节能目标，有具体的措施、工作计划和资金保障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完成节能考核指标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2）节能规划计划</w:t>
            </w: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color w:val="000000"/>
                <w:kern w:val="0"/>
                <w:sz w:val="18"/>
                <w:szCs w:val="18"/>
              </w:rPr>
            </w:pPr>
            <w:r w:rsidRPr="00BC5804">
              <w:rPr>
                <w:color w:val="000000"/>
                <w:kern w:val="0"/>
                <w:sz w:val="18"/>
                <w:szCs w:val="18"/>
              </w:rPr>
              <w:t> </w:t>
            </w:r>
            <w:r w:rsidRPr="00BC580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根据《企业节能规划编制通则》（</w:t>
            </w:r>
            <w:r w:rsidRPr="00BC5804">
              <w:rPr>
                <w:color w:val="000000"/>
                <w:kern w:val="0"/>
                <w:sz w:val="18"/>
                <w:szCs w:val="18"/>
              </w:rPr>
              <w:t>GB/T 25329-2010</w:t>
            </w:r>
            <w:r w:rsidRPr="00BC5804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），编制节能规划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能源管理人员的配备、管理、绩效考核及培训</w:t>
            </w: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1）建立有效的能源管理领导制度和工作体系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2）节能工作机制有效运行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3）能源管理机构、岗位（负责人）按要求进行备案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4）能管人员具备专业技术能力、定期接受专业培训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收集分析用能情况，挖掘节能潜力</w:t>
            </w: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1）建立能源统计台帐，建立相关系统或设备、设施的能源档案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2）开展能源统计分析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3）掌握本单位各项设施、运行系统和用能设备的用能参数及能效状况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4）能效诊断和节能挖潜</w:t>
            </w: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按照《企业能源审计技术通则》（GB/T 17166- 1997）开展全面能源审计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根据能源审计和能效诊断结果，制定并落实节能整改措施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用能计量、监测和报告</w:t>
            </w: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1）</w:t>
            </w:r>
            <w:r w:rsidRPr="00BC5804">
              <w:rPr>
                <w:color w:val="000000"/>
                <w:kern w:val="0"/>
                <w:sz w:val="18"/>
                <w:szCs w:val="18"/>
              </w:rPr>
              <w:t> 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能源计量满足《用能单位能源计量器具配备和管理通则》（GB/T 17167-2006）等国家相关标准要求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2）</w:t>
            </w:r>
            <w:r w:rsidRPr="00BC5804">
              <w:rPr>
                <w:color w:val="000000"/>
                <w:kern w:val="0"/>
                <w:sz w:val="18"/>
                <w:szCs w:val="18"/>
              </w:rPr>
              <w:t> 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定期对相关部门节能工作进行评估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3）对年度能源管理工作进行总结和下年度节能工作进行部署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采用先进的节能技术和设备</w:t>
            </w: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1）采用合同能源管理模式实施节能改造，至少实施过1项节能技术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2）设备采购及更换时充分考虑节能与提高能效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3）对商场运营和主要用能设备的能耗进行优化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4）配套充电设施</w:t>
            </w: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配套充电设施的停车位占总停车泊位的10%及以上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配套充电设施的停车位占总停车泊位的5%及以上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5）节能投资效益</w:t>
            </w: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节能投资回报率高于8.0%（含）–1.5分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节能投资回报率高于6.0%（含）–1.0分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节能投资回报率高于4.0%（含）–0.5分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节能投资回报率低于4.0%（含）–0分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6）综合节能率（综合节能率=产生的总节能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量/该期本单位的总能耗）</w:t>
            </w: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综合节能率大于5%（含）及以上–2分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综合节能率大于3%（含）–1.5分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综合节能率大于2%（含）–1.0分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tcBorders>
              <w:bottom w:val="single" w:sz="4" w:space="0" w:color="auto"/>
            </w:tcBorders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综合节能率小于2%–0分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01" w:rsidRPr="00BC5804" w:rsidRDefault="00DE3701" w:rsidP="002F6A75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01" w:rsidRPr="00BC5804" w:rsidRDefault="00DE3701" w:rsidP="002F6A75">
            <w:pPr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执行节能法律法规及有关规定</w:t>
            </w:r>
          </w:p>
        </w:tc>
        <w:tc>
          <w:tcPr>
            <w:tcW w:w="3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1）执行节能评估审查制度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701" w:rsidRPr="00BC5804" w:rsidRDefault="00DE3701" w:rsidP="002F6A75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tcBorders>
              <w:top w:val="single" w:sz="4" w:space="0" w:color="auto"/>
            </w:tcBorders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</w:tcBorders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2）落实电机、空调、采暖、电器、照明等高能耗设备（产品）的淘汰制度</w:t>
            </w: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tcBorders>
              <w:top w:val="single" w:sz="4" w:space="0" w:color="auto"/>
            </w:tcBorders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282"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bottom w:val="single" w:sz="4" w:space="0" w:color="auto"/>
            </w:tcBorders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8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3）执行节能法律法规其他有关规定，并完成国家或本市要求的节能减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排方面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的其他各专项工作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tcBorders>
              <w:bottom w:val="single" w:sz="4" w:space="0" w:color="auto"/>
            </w:tcBorders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64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对</w:t>
            </w:r>
            <w:proofErr w:type="gramStart"/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标管理</w:t>
            </w:r>
            <w:proofErr w:type="gramEnd"/>
            <w:r w:rsidRPr="00BC580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活动</w:t>
            </w:r>
          </w:p>
        </w:tc>
        <w:tc>
          <w:tcPr>
            <w:tcW w:w="749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1）现状分析 </w:t>
            </w:r>
          </w:p>
        </w:tc>
        <w:tc>
          <w:tcPr>
            <w:tcW w:w="2531" w:type="pct"/>
            <w:tcBorders>
              <w:top w:val="nil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成立对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标活动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小组，明确职责及分工</w:t>
            </w:r>
          </w:p>
        </w:tc>
        <w:tc>
          <w:tcPr>
            <w:tcW w:w="416" w:type="pct"/>
            <w:tcBorders>
              <w:top w:val="nil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392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标指标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进行分析，编写对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标指标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调研分析报告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2）选定标杆 </w:t>
            </w: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以国内行业先进水平作为标杆对象得1分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以国内行业合理值/限定值作为标杆对象得0.5分</w:t>
            </w:r>
          </w:p>
        </w:tc>
        <w:tc>
          <w:tcPr>
            <w:tcW w:w="416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3）对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标分析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标指标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进行分解，并建立对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标指标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三级指标体系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与确立的标杆值比对，找出差距，并对存在问题进行分析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4）对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标基础</w:t>
            </w:r>
            <w:proofErr w:type="gramEnd"/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明确对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标指标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计算范围、完善对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标指标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基础计量工作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5）对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标实践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按照对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标活动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要求，制定具体详实的能效对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标活动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实施方案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标实施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方案对达到标杆值的保障率达到100%，0.5分；60%以上的，0.3分；60%以下的，不得分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300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每项改进措施落实了具体责任人和有时间节点安排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E3701" w:rsidRPr="00BC5804" w:rsidTr="002F6A75">
        <w:trPr>
          <w:trHeight w:val="525"/>
        </w:trPr>
        <w:tc>
          <w:tcPr>
            <w:tcW w:w="26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9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31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按照对</w:t>
            </w:r>
            <w:proofErr w:type="gramStart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标实施</w:t>
            </w:r>
            <w:proofErr w:type="gramEnd"/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方案和措施计划，落实改进率</w:t>
            </w:r>
            <w:r w:rsidRPr="00BC5804">
              <w:rPr>
                <w:color w:val="000000"/>
                <w:kern w:val="0"/>
                <w:sz w:val="18"/>
                <w:szCs w:val="18"/>
              </w:rPr>
              <w:t>100%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的，</w:t>
            </w:r>
            <w:r w:rsidRPr="00BC5804">
              <w:rPr>
                <w:color w:val="000000"/>
                <w:kern w:val="0"/>
                <w:sz w:val="18"/>
                <w:szCs w:val="18"/>
              </w:rPr>
              <w:t>2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分，落实改进率</w:t>
            </w:r>
            <w:r w:rsidRPr="00BC5804">
              <w:rPr>
                <w:color w:val="000000"/>
                <w:kern w:val="0"/>
                <w:sz w:val="18"/>
                <w:szCs w:val="18"/>
              </w:rPr>
              <w:t>60%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的，</w:t>
            </w:r>
            <w:r w:rsidRPr="00BC5804">
              <w:rPr>
                <w:color w:val="000000"/>
                <w:kern w:val="0"/>
                <w:sz w:val="18"/>
                <w:szCs w:val="18"/>
              </w:rPr>
              <w:t>1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分；</w:t>
            </w:r>
            <w:r w:rsidRPr="00BC5804">
              <w:rPr>
                <w:color w:val="000000"/>
                <w:kern w:val="0"/>
                <w:sz w:val="18"/>
                <w:szCs w:val="18"/>
              </w:rPr>
              <w:t>30%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以上的，</w:t>
            </w:r>
            <w:r w:rsidRPr="00BC5804">
              <w:rPr>
                <w:color w:val="000000"/>
                <w:kern w:val="0"/>
                <w:sz w:val="18"/>
                <w:szCs w:val="18"/>
              </w:rPr>
              <w:t>0.5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分；</w:t>
            </w:r>
            <w:r w:rsidRPr="00BC5804">
              <w:rPr>
                <w:color w:val="000000"/>
                <w:kern w:val="0"/>
                <w:sz w:val="18"/>
                <w:szCs w:val="18"/>
              </w:rPr>
              <w:t>30%</w:t>
            </w: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以下的，不得分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DE3701" w:rsidRPr="00BC5804" w:rsidRDefault="00DE3701" w:rsidP="002F6A7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BC580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92" w:type="pct"/>
            <w:vMerge/>
            <w:vAlign w:val="center"/>
          </w:tcPr>
          <w:p w:rsidR="00DE3701" w:rsidRPr="00BC5804" w:rsidRDefault="00DE3701" w:rsidP="002F6A7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DE3701" w:rsidRDefault="00DE3701" w:rsidP="00DE3701">
      <w:pPr>
        <w:spacing w:line="720" w:lineRule="exact"/>
        <w:rPr>
          <w:rFonts w:ascii="仿宋_GB2312" w:eastAsia="仿宋_GB2312"/>
          <w:sz w:val="32"/>
        </w:rPr>
      </w:pPr>
    </w:p>
    <w:p w:rsidR="00DE3701" w:rsidRDefault="00DE3701" w:rsidP="00DE3701">
      <w:pPr>
        <w:spacing w:line="720" w:lineRule="exact"/>
        <w:rPr>
          <w:rFonts w:ascii="仿宋_GB2312" w:eastAsia="仿宋_GB2312"/>
          <w:sz w:val="32"/>
        </w:rPr>
        <w:sectPr w:rsidR="00DE3701" w:rsidSect="00BC5804">
          <w:pgSz w:w="16838" w:h="11906" w:orient="landscape" w:code="9"/>
          <w:pgMar w:top="1588" w:right="2098" w:bottom="1474" w:left="1985" w:header="851" w:footer="2041" w:gutter="0"/>
          <w:pgNumType w:fmt="numberInDash"/>
          <w:cols w:space="425"/>
          <w:titlePg/>
          <w:docGrid w:type="linesAndChars" w:linePitch="312"/>
        </w:sectPr>
      </w:pPr>
    </w:p>
    <w:p w:rsidR="007A4423" w:rsidRDefault="007A4423"/>
    <w:sectPr w:rsidR="007A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701"/>
    <w:rsid w:val="007A4423"/>
    <w:rsid w:val="00D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2</cp:revision>
  <dcterms:created xsi:type="dcterms:W3CDTF">2022-09-30T09:18:00Z</dcterms:created>
  <dcterms:modified xsi:type="dcterms:W3CDTF">2022-09-30T09:18:00Z</dcterms:modified>
</cp:coreProperties>
</file>