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560" w:lineRule="exact"/>
        <w:ind w:right="645"/>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附件1</w:t>
      </w:r>
    </w:p>
    <w:p>
      <w:pPr>
        <w:overflowPunct w:val="0"/>
        <w:spacing w:line="560" w:lineRule="exact"/>
        <w:jc w:val="center"/>
        <w:rPr>
          <w:rFonts w:ascii="方正小标宋简体" w:eastAsia="方正小标宋简体"/>
          <w:sz w:val="32"/>
          <w:szCs w:val="32"/>
        </w:rPr>
      </w:pPr>
      <w:r>
        <w:rPr>
          <w:rFonts w:hint="eastAsia" w:ascii="方正小标宋简体" w:eastAsia="方正小标宋简体"/>
          <w:sz w:val="32"/>
          <w:szCs w:val="32"/>
        </w:rPr>
        <w:t>上海市商务委员委“十五五”规划前期研究及</w:t>
      </w:r>
    </w:p>
    <w:p>
      <w:pPr>
        <w:overflowPunct w:val="0"/>
        <w:spacing w:line="560" w:lineRule="exact"/>
        <w:jc w:val="center"/>
        <w:rPr>
          <w:rFonts w:ascii="方正小标宋简体" w:eastAsia="方正小标宋简体"/>
          <w:sz w:val="32"/>
          <w:szCs w:val="32"/>
        </w:rPr>
      </w:pPr>
      <w:r>
        <w:rPr>
          <w:rFonts w:hint="eastAsia" w:ascii="方正小标宋简体" w:eastAsia="方正小标宋简体"/>
          <w:sz w:val="32"/>
          <w:szCs w:val="32"/>
        </w:rPr>
        <w:t>2</w:t>
      </w:r>
      <w:r>
        <w:rPr>
          <w:rFonts w:ascii="方正小标宋简体" w:eastAsia="方正小标宋简体"/>
          <w:sz w:val="32"/>
          <w:szCs w:val="32"/>
        </w:rPr>
        <w:t>024</w:t>
      </w:r>
      <w:r>
        <w:rPr>
          <w:rFonts w:hint="eastAsia" w:ascii="方正小标宋简体" w:eastAsia="方正小标宋简体"/>
          <w:sz w:val="32"/>
          <w:szCs w:val="32"/>
        </w:rPr>
        <w:t>年度商务专项调研课题研究指南</w:t>
      </w:r>
    </w:p>
    <w:p>
      <w:pPr>
        <w:overflowPunct w:val="0"/>
        <w:spacing w:line="560" w:lineRule="exact"/>
        <w:rPr>
          <w:rFonts w:ascii="方正小标宋简体" w:eastAsia="方正小标宋简体"/>
          <w:sz w:val="36"/>
          <w:szCs w:val="36"/>
        </w:rPr>
      </w:pPr>
    </w:p>
    <w:p>
      <w:pPr>
        <w:overflowPunct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说明：研究内容不限于以下所列要点，具体可由责任处室与课题承担单位协商适当调整。</w:t>
      </w:r>
    </w:p>
    <w:p>
      <w:pPr>
        <w:overflowPunct w:val="0"/>
        <w:spacing w:line="560" w:lineRule="exact"/>
        <w:ind w:firstLine="640" w:firstLineChars="200"/>
        <w:rPr>
          <w:rFonts w:ascii="仿宋_GB2312" w:hAnsi="仿宋_GB2312" w:eastAsia="仿宋_GB2312"/>
          <w:sz w:val="32"/>
          <w:szCs w:val="32"/>
        </w:rPr>
      </w:pPr>
    </w:p>
    <w:p>
      <w:pPr>
        <w:overflowPunct w:val="0"/>
        <w:spacing w:line="560" w:lineRule="exact"/>
        <w:ind w:firstLine="640" w:firstLineChars="200"/>
        <w:rPr>
          <w:rFonts w:ascii="黑体" w:hAnsi="黑体" w:eastAsia="黑体"/>
          <w:sz w:val="32"/>
          <w:szCs w:val="32"/>
        </w:rPr>
      </w:pPr>
      <w:r>
        <w:rPr>
          <w:rFonts w:hint="eastAsia" w:ascii="黑体" w:hAnsi="黑体" w:eastAsia="黑体"/>
          <w:sz w:val="32"/>
          <w:szCs w:val="32"/>
        </w:rPr>
        <w:t>一、“十五五”规划前期研究课题</w:t>
      </w:r>
    </w:p>
    <w:p>
      <w:pPr>
        <w:overflowPunct w:val="0"/>
        <w:spacing w:line="560" w:lineRule="exact"/>
        <w:ind w:firstLine="643" w:firstLineChars="200"/>
        <w:rPr>
          <w:rFonts w:ascii="楷体_GB2312" w:hAnsi="楷体_GB2312" w:eastAsia="楷体_GB2312"/>
          <w:b/>
          <w:bCs/>
          <w:sz w:val="32"/>
          <w:szCs w:val="32"/>
        </w:rPr>
      </w:pPr>
      <w:r>
        <w:rPr>
          <w:rFonts w:hint="eastAsia" w:ascii="楷体_GB2312" w:hAnsi="楷体_GB2312" w:eastAsia="楷体_GB2312"/>
          <w:b/>
          <w:bCs/>
          <w:sz w:val="32"/>
          <w:szCs w:val="32"/>
        </w:rPr>
        <w:t>1.</w:t>
      </w:r>
      <w:r>
        <w:rPr>
          <w:rFonts w:ascii="楷体_GB2312" w:hAnsi="楷体_GB2312" w:eastAsia="楷体_GB2312"/>
          <w:b/>
          <w:bCs/>
          <w:sz w:val="32"/>
          <w:szCs w:val="32"/>
        </w:rPr>
        <w:t>“</w:t>
      </w:r>
      <w:r>
        <w:rPr>
          <w:rFonts w:hint="eastAsia" w:ascii="楷体_GB2312" w:hAnsi="楷体_GB2312" w:eastAsia="楷体_GB2312"/>
          <w:b/>
          <w:bCs/>
          <w:sz w:val="32"/>
          <w:szCs w:val="32"/>
        </w:rPr>
        <w:t>十五五</w:t>
      </w:r>
      <w:r>
        <w:rPr>
          <w:rFonts w:ascii="楷体_GB2312" w:hAnsi="楷体_GB2312" w:eastAsia="楷体_GB2312"/>
          <w:b/>
          <w:bCs/>
          <w:sz w:val="32"/>
          <w:szCs w:val="32"/>
        </w:rPr>
        <w:t>”</w:t>
      </w:r>
      <w:r>
        <w:rPr>
          <w:rFonts w:hint="eastAsia" w:ascii="楷体_GB2312" w:hAnsi="楷体_GB2312" w:eastAsia="楷体_GB2312"/>
          <w:b/>
          <w:bCs/>
          <w:sz w:val="32"/>
          <w:szCs w:val="32"/>
        </w:rPr>
        <w:t>期间上海商务经济的趋势特点及指标体系研究</w:t>
      </w:r>
    </w:p>
    <w:p>
      <w:pPr>
        <w:overflowPunct w:val="0"/>
        <w:spacing w:line="560" w:lineRule="exact"/>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研究重点：</w:t>
      </w:r>
      <w:r>
        <w:rPr>
          <w:rFonts w:hint="eastAsia" w:ascii="仿宋_GB2312" w:hAnsi="仿宋_GB2312" w:eastAsia="仿宋_GB2312"/>
          <w:sz w:val="32"/>
          <w:szCs w:val="32"/>
        </w:rPr>
        <w:t>（1）结合“十四五”商务经济主要指标情况，分析“十五五”时期商务经济总体趋势特点；（2）国家对上海提出的最新战略要求及任务，衔接全市相关规划目标，研究提出“十五五”期间上海商务经济高质量发展的指标体系；（3）多场景测算分析“十五五”期间上海商务经济的潜在增长率和相关结构性指标；（4）运用科学方法，研究测算商务经济发展主要指标2030年目标值。</w:t>
      </w:r>
    </w:p>
    <w:p>
      <w:pPr>
        <w:overflowPunct w:val="0"/>
        <w:spacing w:line="560" w:lineRule="exact"/>
        <w:ind w:firstLine="643" w:firstLineChars="200"/>
        <w:rPr>
          <w:rFonts w:ascii="楷体_GB2312" w:hAnsi="楷体_GB2312" w:eastAsia="楷体_GB2312"/>
          <w:b/>
          <w:bCs/>
          <w:sz w:val="32"/>
          <w:szCs w:val="32"/>
        </w:rPr>
      </w:pPr>
      <w:r>
        <w:rPr>
          <w:rFonts w:hint="eastAsia" w:ascii="楷体_GB2312" w:hAnsi="楷体_GB2312" w:eastAsia="楷体_GB2312"/>
          <w:b/>
          <w:bCs/>
          <w:sz w:val="32"/>
          <w:szCs w:val="32"/>
        </w:rPr>
        <w:t>2.“十五五”期间上海国际贸易中心建设的形势、目标、思路和重点举措研究</w:t>
      </w:r>
    </w:p>
    <w:p>
      <w:pPr>
        <w:overflowPunct w:val="0"/>
        <w:spacing w:line="560" w:lineRule="exact"/>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研究重点：</w:t>
      </w:r>
      <w:r>
        <w:rPr>
          <w:rFonts w:hint="eastAsia" w:ascii="仿宋_GB2312" w:hAnsi="仿宋_GB2312" w:eastAsia="仿宋_GB2312"/>
          <w:sz w:val="32"/>
          <w:szCs w:val="32"/>
        </w:rPr>
        <w:t>（1）分析“十五五”期间国际贸易中心建设面临的国际环境总体趋势特点，围绕政治格局、经贸规则、科技创新、产业链供应链价值链等方面进行前瞻性研判，分析外部环境变化对上海国际贸易中心建设带来的战略机遇和风险挑战；（2）梳理总结国际贸易中心城市发展历史经验，多角度分析判断“十五五”期间国际贸易中心建设所处阶段，并提出发展定位和关键指标体系；（3）研究提出“十五五”期间上海国际贸易中心建设提质升级、强化枢纽功能的具体思路和关键举措。</w:t>
      </w:r>
    </w:p>
    <w:p>
      <w:pPr>
        <w:overflowPunct w:val="0"/>
        <w:spacing w:line="560" w:lineRule="exact"/>
        <w:ind w:firstLine="643" w:firstLineChars="200"/>
        <w:rPr>
          <w:rFonts w:ascii="楷体_GB2312" w:hAnsi="楷体_GB2312" w:eastAsia="楷体_GB2312"/>
          <w:b/>
          <w:bCs/>
          <w:sz w:val="32"/>
          <w:szCs w:val="32"/>
        </w:rPr>
      </w:pPr>
      <w:r>
        <w:rPr>
          <w:rFonts w:hint="eastAsia" w:ascii="楷体_GB2312" w:hAnsi="楷体_GB2312" w:eastAsia="楷体_GB2312"/>
          <w:b/>
          <w:bCs/>
          <w:sz w:val="32"/>
          <w:szCs w:val="32"/>
        </w:rPr>
        <w:t>3.“十五五”期间服务贸易负面清单管理模式对上海贸易投资的影响和应对举措研究</w:t>
      </w:r>
    </w:p>
    <w:p>
      <w:pPr>
        <w:overflowPunct w:val="0"/>
        <w:snapToGrid w:val="0"/>
        <w:spacing w:line="560" w:lineRule="exact"/>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研究重点：</w:t>
      </w:r>
      <w:r>
        <w:rPr>
          <w:rFonts w:hint="eastAsia" w:ascii="仿宋_GB2312" w:hAnsi="仿宋_GB2312" w:eastAsia="仿宋_GB2312"/>
          <w:sz w:val="32"/>
          <w:szCs w:val="32"/>
        </w:rPr>
        <w:t>（1）研究多双边经贸协定中跨境服务贸易及投资负面清单谈判模式和不符措施承诺方式的应用趋势；（2）在全球视野下分析我国对接国际高标准经贸规则、出台全国版、自贸试验区版跨境服务贸易及投资负面清单和海南版跨境服务贸易负面清单的制度型开放效应；（3）聚焦各领域特殊管理措施和开放举措，结合上海“五个中心”功能定位和产业特点，研究跨境服务贸易及投资负面清单管理模式及自贸试验区开放举措对本市服务贸易发展、吸收外商投资及服务业发展带来影响和机遇；（4）提出跨境服务贸易及投资负面清单在促进服务贸易发展、吸引外商投资及服务业发展等方面有针对性和可执行性的实施路径；（5）针对全国版、自贸试验区版跨境服务贸易及投资负面清单，提出本市需进一步争取开放的领域和具体举措；（6）对接国际高标准经贸协定，探索全国版、自贸试验区版跨境服务贸易、投资两个负面清单合并的可能性和可操作性。</w:t>
      </w:r>
    </w:p>
    <w:p>
      <w:pPr>
        <w:overflowPunct w:val="0"/>
        <w:spacing w:line="560" w:lineRule="exact"/>
        <w:ind w:firstLine="643" w:firstLineChars="200"/>
        <w:rPr>
          <w:rFonts w:ascii="楷体_GB2312" w:hAnsi="楷体_GB2312" w:eastAsia="楷体_GB2312"/>
          <w:b/>
          <w:bCs/>
          <w:sz w:val="32"/>
          <w:szCs w:val="32"/>
        </w:rPr>
      </w:pPr>
      <w:r>
        <w:rPr>
          <w:rFonts w:hint="eastAsia" w:ascii="楷体_GB2312" w:hAnsi="楷体_GB2312" w:eastAsia="楷体_GB2312"/>
          <w:b/>
          <w:bCs/>
          <w:sz w:val="32"/>
          <w:szCs w:val="32"/>
        </w:rPr>
        <w:t>4.“十五五”期间优化上海国际贸易营商环境的思路和重点举措研究</w:t>
      </w:r>
    </w:p>
    <w:p>
      <w:pPr>
        <w:widowControl/>
        <w:overflowPunct w:val="0"/>
        <w:spacing w:line="560" w:lineRule="exact"/>
        <w:ind w:firstLine="643" w:firstLineChars="200"/>
        <w:rPr>
          <w:rFonts w:ascii="仿宋_GB2312" w:hAnsi="仿宋_GB2312" w:eastAsia="仿宋_GB2312"/>
          <w:b/>
          <w:bCs/>
          <w:sz w:val="32"/>
          <w:szCs w:val="32"/>
          <w:lang w:val="en"/>
        </w:rPr>
      </w:pPr>
      <w:r>
        <w:rPr>
          <w:rFonts w:hint="eastAsia" w:ascii="仿宋_GB2312" w:hAnsi="仿宋_GB2312" w:eastAsia="仿宋_GB2312"/>
          <w:b/>
          <w:bCs/>
          <w:sz w:val="32"/>
          <w:szCs w:val="32"/>
          <w:lang w:val="en"/>
        </w:rPr>
        <w:t>研究重点：</w:t>
      </w:r>
      <w:r>
        <w:rPr>
          <w:rFonts w:hint="eastAsia" w:ascii="仿宋_GB2312" w:hAnsi="仿宋_GB2312" w:eastAsia="仿宋_GB2312"/>
          <w:sz w:val="32"/>
          <w:szCs w:val="40"/>
        </w:rPr>
        <w:t>（1）</w:t>
      </w:r>
      <w:r>
        <w:rPr>
          <w:rFonts w:ascii="仿宋_GB2312" w:hAnsi="仿宋_GB2312" w:eastAsia="仿宋_GB2312"/>
          <w:sz w:val="32"/>
          <w:szCs w:val="40"/>
        </w:rPr>
        <w:t>国际贸易营商环境相关国际标准解构</w:t>
      </w:r>
      <w:r>
        <w:rPr>
          <w:rFonts w:hint="eastAsia" w:ascii="仿宋_GB2312" w:hAnsi="仿宋_GB2312" w:eastAsia="仿宋_GB2312"/>
          <w:sz w:val="32"/>
          <w:szCs w:val="40"/>
        </w:rPr>
        <w:t>分析</w:t>
      </w:r>
      <w:r>
        <w:rPr>
          <w:rFonts w:ascii="仿宋_GB2312" w:hAnsi="仿宋_GB2312" w:eastAsia="仿宋_GB2312"/>
          <w:sz w:val="32"/>
          <w:szCs w:val="40"/>
        </w:rPr>
        <w:t>；</w:t>
      </w:r>
      <w:r>
        <w:rPr>
          <w:rFonts w:hint="eastAsia" w:ascii="仿宋_GB2312" w:hAnsi="仿宋_GB2312" w:eastAsia="仿宋_GB2312"/>
          <w:sz w:val="32"/>
          <w:szCs w:val="40"/>
        </w:rPr>
        <w:t>（2）</w:t>
      </w:r>
      <w:r>
        <w:rPr>
          <w:rFonts w:ascii="仿宋_GB2312" w:hAnsi="仿宋_GB2312" w:eastAsia="仿宋_GB2312"/>
          <w:sz w:val="32"/>
          <w:szCs w:val="40"/>
        </w:rPr>
        <w:t>对标国际标准、国内外良好实践</w:t>
      </w:r>
      <w:r>
        <w:rPr>
          <w:rFonts w:hint="eastAsia" w:ascii="仿宋_GB2312" w:hAnsi="仿宋_GB2312" w:eastAsia="仿宋_GB2312"/>
          <w:sz w:val="32"/>
          <w:szCs w:val="40"/>
        </w:rPr>
        <w:t>，明确</w:t>
      </w:r>
      <w:r>
        <w:rPr>
          <w:rFonts w:ascii="仿宋_GB2312" w:hAnsi="仿宋_GB2312" w:eastAsia="仿宋_GB2312"/>
          <w:sz w:val="32"/>
          <w:szCs w:val="40"/>
        </w:rPr>
        <w:t>上海市国际贸易营商环境的</w:t>
      </w:r>
      <w:r>
        <w:rPr>
          <w:rFonts w:hint="eastAsia" w:ascii="仿宋_GB2312" w:hAnsi="仿宋_GB2312" w:eastAsia="仿宋_GB2312"/>
          <w:sz w:val="32"/>
          <w:szCs w:val="40"/>
        </w:rPr>
        <w:t>短板和</w:t>
      </w:r>
      <w:r>
        <w:rPr>
          <w:rFonts w:ascii="仿宋_GB2312" w:hAnsi="仿宋_GB2312" w:eastAsia="仿宋_GB2312"/>
          <w:sz w:val="32"/>
          <w:szCs w:val="40"/>
        </w:rPr>
        <w:t>不足；</w:t>
      </w:r>
      <w:r>
        <w:rPr>
          <w:rFonts w:hint="eastAsia" w:ascii="仿宋_GB2312" w:hAnsi="仿宋_GB2312" w:eastAsia="仿宋_GB2312"/>
          <w:sz w:val="32"/>
          <w:szCs w:val="40"/>
        </w:rPr>
        <w:t>（3）梳理分析</w:t>
      </w:r>
      <w:r>
        <w:rPr>
          <w:rFonts w:ascii="仿宋_GB2312" w:hAnsi="仿宋_GB2312" w:eastAsia="仿宋_GB2312"/>
          <w:sz w:val="32"/>
          <w:szCs w:val="40"/>
        </w:rPr>
        <w:t>上海市国际贸易营商环境相关领域的具体</w:t>
      </w:r>
      <w:r>
        <w:rPr>
          <w:rFonts w:hint="eastAsia" w:ascii="仿宋_GB2312" w:hAnsi="仿宋_GB2312" w:eastAsia="仿宋_GB2312"/>
          <w:sz w:val="32"/>
          <w:szCs w:val="40"/>
        </w:rPr>
        <w:t>瓶颈</w:t>
      </w:r>
      <w:r>
        <w:rPr>
          <w:rFonts w:ascii="仿宋_GB2312" w:hAnsi="仿宋_GB2312" w:eastAsia="仿宋_GB2312"/>
          <w:sz w:val="32"/>
          <w:szCs w:val="40"/>
        </w:rPr>
        <w:t>问题；</w:t>
      </w:r>
      <w:r>
        <w:rPr>
          <w:rFonts w:hint="eastAsia" w:ascii="仿宋_GB2312" w:hAnsi="仿宋_GB2312" w:eastAsia="仿宋_GB2312"/>
          <w:sz w:val="32"/>
          <w:szCs w:val="40"/>
        </w:rPr>
        <w:t>（4）提出</w:t>
      </w:r>
      <w:r>
        <w:rPr>
          <w:rFonts w:ascii="仿宋_GB2312" w:hAnsi="仿宋_GB2312" w:eastAsia="仿宋_GB2312"/>
          <w:sz w:val="32"/>
          <w:szCs w:val="40"/>
        </w:rPr>
        <w:t>优化上海市国际贸易营商环境的总体方向和具体措施。</w:t>
      </w:r>
    </w:p>
    <w:p>
      <w:pPr>
        <w:overflowPunct w:val="0"/>
        <w:spacing w:line="560" w:lineRule="exact"/>
        <w:ind w:firstLine="643" w:firstLineChars="200"/>
        <w:rPr>
          <w:rFonts w:ascii="楷体_GB2312" w:hAnsi="楷体_GB2312" w:eastAsia="楷体_GB2312"/>
          <w:b/>
          <w:bCs/>
          <w:sz w:val="32"/>
          <w:szCs w:val="32"/>
        </w:rPr>
      </w:pPr>
      <w:r>
        <w:rPr>
          <w:rFonts w:hint="eastAsia" w:ascii="楷体_GB2312" w:hAnsi="楷体_GB2312" w:eastAsia="楷体_GB2312"/>
          <w:b/>
          <w:bCs/>
          <w:sz w:val="32"/>
          <w:szCs w:val="32"/>
        </w:rPr>
        <w:t>5.</w:t>
      </w:r>
      <w:r>
        <w:rPr>
          <w:rFonts w:ascii="楷体_GB2312" w:hAnsi="楷体_GB2312" w:eastAsia="楷体_GB2312"/>
          <w:b/>
          <w:bCs/>
          <w:sz w:val="32"/>
          <w:szCs w:val="32"/>
        </w:rPr>
        <w:t>“</w:t>
      </w:r>
      <w:r>
        <w:rPr>
          <w:rFonts w:hint="eastAsia" w:ascii="楷体_GB2312" w:hAnsi="楷体_GB2312" w:eastAsia="楷体_GB2312"/>
          <w:b/>
          <w:bCs/>
          <w:sz w:val="32"/>
          <w:szCs w:val="32"/>
        </w:rPr>
        <w:t>十五五</w:t>
      </w:r>
      <w:r>
        <w:rPr>
          <w:rFonts w:ascii="楷体_GB2312" w:hAnsi="楷体_GB2312" w:eastAsia="楷体_GB2312"/>
          <w:b/>
          <w:bCs/>
          <w:sz w:val="32"/>
          <w:szCs w:val="32"/>
        </w:rPr>
        <w:t>”</w:t>
      </w:r>
      <w:r>
        <w:rPr>
          <w:rFonts w:hint="eastAsia" w:ascii="楷体_GB2312" w:hAnsi="楷体_GB2312" w:eastAsia="楷体_GB2312"/>
          <w:b/>
          <w:bCs/>
          <w:sz w:val="32"/>
          <w:szCs w:val="32"/>
        </w:rPr>
        <w:t>期间上海引进高能级外资项目提高利用外资质量的目标、思路和重点举措研究</w:t>
      </w:r>
    </w:p>
    <w:p>
      <w:pPr>
        <w:overflowPunct w:val="0"/>
        <w:spacing w:line="560" w:lineRule="exact"/>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研究重点：</w:t>
      </w:r>
      <w:r>
        <w:rPr>
          <w:rFonts w:hint="eastAsia" w:ascii="仿宋_GB2312" w:hAnsi="仿宋_GB2312" w:eastAsia="仿宋_GB2312"/>
          <w:sz w:val="32"/>
          <w:szCs w:val="32"/>
        </w:rPr>
        <w:t>（1）深入调研分析上海存量外资企业进一步增加投资的情况，增量外资企业重点领域和主要方式等趋势；（2）结合上海“五个中心”建设、产业发展、城市功能定位，提出吸引外资高能级外资项目的主攻方向；（3）研究分析高能级外资项目落户面临的政策、服务等营商环境方面的问题；（4）梳理本市招商引资进一步优化提升效率的情况，提出进一步吸引高能级外资项目集聚发展的举措。</w:t>
      </w:r>
    </w:p>
    <w:p>
      <w:pPr>
        <w:overflowPunct w:val="0"/>
        <w:spacing w:line="560" w:lineRule="exact"/>
        <w:ind w:firstLine="643" w:firstLineChars="200"/>
        <w:rPr>
          <w:rFonts w:ascii="楷体_GB2312" w:hAnsi="楷体_GB2312" w:eastAsia="楷体_GB2312"/>
          <w:b/>
          <w:bCs/>
          <w:sz w:val="32"/>
          <w:szCs w:val="32"/>
        </w:rPr>
      </w:pPr>
      <w:r>
        <w:rPr>
          <w:rFonts w:hint="eastAsia" w:ascii="楷体_GB2312" w:hAnsi="楷体_GB2312" w:eastAsia="楷体_GB2312"/>
          <w:b/>
          <w:bCs/>
          <w:sz w:val="32"/>
          <w:szCs w:val="32"/>
        </w:rPr>
        <w:t>6.“十五五”期间上海市发展生产性互联网服务平台培育新质生产力的目标、思路和重点举措研究</w:t>
      </w:r>
    </w:p>
    <w:p>
      <w:pPr>
        <w:pStyle w:val="5"/>
        <w:overflowPunct w:val="0"/>
        <w:snapToGrid w:val="0"/>
        <w:spacing w:before="0" w:beforeAutospacing="0" w:after="0" w:afterAutospacing="0" w:line="560" w:lineRule="exact"/>
        <w:ind w:firstLine="643" w:firstLineChars="200"/>
        <w:jc w:val="both"/>
        <w:rPr>
          <w:rFonts w:ascii="仿宋_GB2312" w:hAnsi="仿宋_GB2312" w:eastAsia="仿宋_GB2312"/>
          <w:b/>
          <w:bCs/>
          <w:sz w:val="32"/>
          <w:szCs w:val="32"/>
        </w:rPr>
      </w:pPr>
      <w:r>
        <w:rPr>
          <w:rFonts w:hint="eastAsia" w:ascii="仿宋_GB2312" w:hAnsi="仿宋_GB2312" w:eastAsia="仿宋_GB2312"/>
          <w:b/>
          <w:bCs/>
          <w:sz w:val="32"/>
          <w:szCs w:val="32"/>
        </w:rPr>
        <w:t>研究重点：</w:t>
      </w:r>
      <w:r>
        <w:rPr>
          <w:rFonts w:hint="eastAsia" w:ascii="仿宋_GB2312" w:hAnsi="仿宋_GB2312" w:eastAsia="仿宋_GB2312"/>
          <w:kern w:val="2"/>
          <w:sz w:val="32"/>
          <w:szCs w:val="32"/>
        </w:rPr>
        <w:t>（1）对本市生产性互联网服务平台发展能级和支持平台高质量发展的政策举措建立评估指标体系，并对重点平台发展现状和阶段性工作成效进行评估；（2）分析研究本市生产性互联网服务平台发展的新动向、新趋势和新内涵；（3）研究提出“十五五”时期生产性互联网服务平台高质量发展在加快培育新质生产力、构建新型市场流通体系和统一大市场、服务内外贸一体化中的重要作用和影响；（4）研究提出“十五五”时期本市生产性互联网服务平台高质量发展的总体思路、体系构架和发展目标；</w:t>
      </w:r>
      <w:r>
        <w:rPr>
          <w:rFonts w:hint="eastAsia" w:ascii="仿宋_GB2312" w:hAnsi="仿宋_GB2312" w:eastAsia="仿宋_GB2312"/>
          <w:sz w:val="32"/>
          <w:szCs w:val="32"/>
        </w:rPr>
        <w:t>（5）</w:t>
      </w:r>
      <w:r>
        <w:rPr>
          <w:rFonts w:hint="eastAsia" w:ascii="仿宋_GB2312" w:hAnsi="仿宋_GB2312" w:eastAsia="仿宋_GB2312"/>
          <w:kern w:val="2"/>
          <w:sz w:val="32"/>
          <w:szCs w:val="32"/>
        </w:rPr>
        <w:t>研究提出支持本市生产性互联网服务平台跃升发展、构建新的增长极的重大举措和政策建议。</w:t>
      </w:r>
    </w:p>
    <w:p>
      <w:pPr>
        <w:overflowPunct w:val="0"/>
        <w:spacing w:line="560" w:lineRule="exact"/>
        <w:ind w:firstLine="640" w:firstLineChars="200"/>
        <w:rPr>
          <w:rFonts w:ascii="黑体" w:hAnsi="黑体" w:eastAsia="黑体"/>
          <w:sz w:val="32"/>
          <w:szCs w:val="32"/>
        </w:rPr>
      </w:pPr>
      <w:r>
        <w:rPr>
          <w:rFonts w:hint="eastAsia" w:ascii="黑体" w:hAnsi="黑体" w:eastAsia="黑体"/>
          <w:sz w:val="32"/>
          <w:szCs w:val="32"/>
        </w:rPr>
        <w:t>二、上半年商务专项调研课题</w:t>
      </w:r>
    </w:p>
    <w:p>
      <w:pPr>
        <w:overflowPunct w:val="0"/>
        <w:spacing w:line="560" w:lineRule="exact"/>
        <w:ind w:firstLine="643" w:firstLineChars="200"/>
        <w:rPr>
          <w:rFonts w:ascii="楷体_GB2312" w:hAnsi="楷体_GB2312" w:eastAsia="楷体_GB2312"/>
          <w:b/>
          <w:bCs/>
          <w:sz w:val="32"/>
          <w:szCs w:val="32"/>
        </w:rPr>
      </w:pPr>
      <w:r>
        <w:rPr>
          <w:rFonts w:hint="eastAsia" w:ascii="楷体_GB2312" w:hAnsi="楷体_GB2312" w:eastAsia="楷体_GB2312"/>
          <w:b/>
          <w:bCs/>
          <w:sz w:val="32"/>
          <w:szCs w:val="32"/>
        </w:rPr>
        <w:t>1.对接国际高标准经贸规则加大开放压力测试专项调研</w:t>
      </w:r>
    </w:p>
    <w:p>
      <w:pPr>
        <w:pStyle w:val="6"/>
        <w:overflowPunct w:val="0"/>
        <w:snapToGrid w:val="0"/>
        <w:spacing w:line="560" w:lineRule="exact"/>
        <w:ind w:firstLine="643" w:firstLineChars="200"/>
        <w:rPr>
          <w:rFonts w:ascii="仿宋_GB2312" w:hAnsi="仿宋_GB2312" w:eastAsia="仿宋_GB2312"/>
          <w:b/>
          <w:bCs/>
          <w:sz w:val="32"/>
          <w:szCs w:val="32"/>
          <w:lang w:val="en"/>
        </w:rPr>
      </w:pPr>
      <w:r>
        <w:rPr>
          <w:rFonts w:hint="eastAsia" w:ascii="仿宋_GB2312" w:hAnsi="仿宋_GB2312" w:eastAsia="仿宋_GB2312"/>
          <w:b/>
          <w:bCs/>
          <w:sz w:val="32"/>
          <w:szCs w:val="32"/>
          <w:lang w:val="en"/>
        </w:rPr>
        <w:t>研究重点：</w:t>
      </w:r>
      <w:r>
        <w:rPr>
          <w:rFonts w:hint="eastAsia" w:ascii="仿宋_GB2312" w:hAnsi="仿宋_GB2312" w:eastAsia="仿宋_GB2312"/>
          <w:sz w:val="32"/>
          <w:szCs w:val="32"/>
        </w:rPr>
        <w:t>（1）总结上海自贸试验区、临港新片区、虹桥国际中央商务区、海关特殊综保区等开放发展进展和成效;（2）梳理上海对接国际高标准经贸规则、推进制度型开放的实践经验;（3）提出上海进一步深化对接国际高标准经贸规则、加大压力测试的政策建议、风险防控举措等。</w:t>
      </w:r>
    </w:p>
    <w:p>
      <w:pPr>
        <w:overflowPunct w:val="0"/>
        <w:spacing w:line="560" w:lineRule="exact"/>
        <w:ind w:firstLine="643" w:firstLineChars="200"/>
        <w:rPr>
          <w:rFonts w:ascii="楷体_GB2312" w:hAnsi="楷体_GB2312" w:eastAsia="楷体_GB2312"/>
          <w:b/>
          <w:bCs/>
          <w:sz w:val="32"/>
          <w:szCs w:val="32"/>
        </w:rPr>
      </w:pPr>
      <w:r>
        <w:rPr>
          <w:rFonts w:hint="eastAsia" w:ascii="楷体_GB2312" w:hAnsi="楷体_GB2312" w:eastAsia="楷体_GB2312"/>
          <w:b/>
          <w:bCs/>
          <w:sz w:val="32"/>
          <w:szCs w:val="32"/>
        </w:rPr>
        <w:t>2.上海拓展中间品贸易的思路和重点举措研究</w:t>
      </w:r>
    </w:p>
    <w:p>
      <w:pPr>
        <w:overflowPunct w:val="0"/>
        <w:spacing w:line="560" w:lineRule="exact"/>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研究重点：</w:t>
      </w:r>
      <w:r>
        <w:rPr>
          <w:rFonts w:hint="eastAsia" w:ascii="仿宋_GB2312" w:hAnsi="仿宋_GB2312" w:eastAsia="仿宋_GB2312"/>
          <w:sz w:val="32"/>
          <w:szCs w:val="32"/>
        </w:rPr>
        <w:t>（1）梳理联合国、世贸组织等国际权威机构关于中间品贸易的内涵界定和统计范围，结合城市特点，明确提出上海中间品贸易的统计范围和口径；（2）利用统计数据梳理上海中间品贸易发展的现状，包括贸易额及增长情况、占比情况（占全国比重以及占全市外贸进出口比重）、产品/行业进出口结构、进出口国别和区域等，并通过与深圳、苏州、北京等城市的对标比较，分析上海的优势亮点和短板不足；（3）提出下一步上海拓展中间品贸易、培育外贸新动能的主要思路、核心路径和主要举措。</w:t>
      </w:r>
    </w:p>
    <w:p>
      <w:pPr>
        <w:overflowPunct w:val="0"/>
        <w:spacing w:line="560" w:lineRule="exact"/>
        <w:ind w:firstLine="643" w:firstLineChars="200"/>
        <w:rPr>
          <w:rFonts w:ascii="楷体_GB2312" w:hAnsi="楷体_GB2312" w:eastAsia="楷体_GB2312"/>
          <w:b/>
          <w:bCs/>
          <w:sz w:val="32"/>
          <w:szCs w:val="32"/>
        </w:rPr>
      </w:pPr>
      <w:r>
        <w:rPr>
          <w:rFonts w:hint="eastAsia" w:ascii="楷体_GB2312" w:hAnsi="楷体_GB2312" w:eastAsia="楷体_GB2312"/>
          <w:b/>
          <w:bCs/>
          <w:sz w:val="32"/>
          <w:szCs w:val="32"/>
        </w:rPr>
        <w:t>3.上海市服务消费发展评价指标体系专项调研</w:t>
      </w:r>
    </w:p>
    <w:p>
      <w:pPr>
        <w:overflowPunct w:val="0"/>
        <w:spacing w:line="560" w:lineRule="exact"/>
        <w:ind w:firstLine="643" w:firstLineChars="200"/>
        <w:rPr>
          <w:rFonts w:ascii="仿宋_GB2312" w:hAnsi="仿宋_GB2312" w:eastAsia="仿宋_GB2312"/>
          <w:b/>
          <w:bCs/>
          <w:sz w:val="32"/>
          <w:szCs w:val="32"/>
          <w:lang w:val="en"/>
        </w:rPr>
      </w:pPr>
      <w:r>
        <w:rPr>
          <w:rFonts w:hint="eastAsia" w:ascii="仿宋_GB2312" w:hAnsi="仿宋_GB2312" w:eastAsia="仿宋_GB2312"/>
          <w:b/>
          <w:bCs/>
          <w:sz w:val="32"/>
          <w:szCs w:val="32"/>
          <w:lang w:val="en"/>
        </w:rPr>
        <w:t>研究重点：</w:t>
      </w:r>
      <w:r>
        <w:rPr>
          <w:rFonts w:hint="eastAsia" w:ascii="仿宋_GB2312" w:hAnsi="仿宋_GB2312" w:eastAsia="仿宋_GB2312"/>
          <w:sz w:val="32"/>
          <w:szCs w:val="32"/>
        </w:rPr>
        <w:t>（1）聚焦上海服务消费总体评价及文旅服务、体育服务、养老服务、健康服务、信息服务、金融服务、教育服务、餐饮服务、家政服务、居住服务、交通服务等11个重点领域消费评价，运用大数据技术研究支付端跟踪消费者行为数据、支付端行业标签对标政府统计的对应行业的标签，建立服务消费总体及各领域的监测指标体系，实现线下服务消费高频监测;（2）研究建立围绕消费规模、品牌集聚、模式创新、场景融合等不同维度的综合指标体系，评价上海服务消费发展活力；（3）通过大数据分析更全面地掌握服务消费发展动态，为本市服务消费提质扩容提供相关意见建议。</w:t>
      </w:r>
    </w:p>
    <w:p>
      <w:pPr>
        <w:overflowPunct w:val="0"/>
        <w:spacing w:line="560" w:lineRule="exact"/>
        <w:ind w:firstLine="643" w:firstLineChars="200"/>
        <w:rPr>
          <w:rFonts w:ascii="楷体_GB2312" w:hAnsi="楷体_GB2312" w:eastAsia="楷体_GB2312"/>
          <w:b/>
          <w:bCs/>
          <w:sz w:val="32"/>
          <w:szCs w:val="32"/>
        </w:rPr>
      </w:pPr>
      <w:r>
        <w:rPr>
          <w:rFonts w:hint="eastAsia" w:ascii="楷体_GB2312" w:hAnsi="楷体_GB2312" w:eastAsia="楷体_GB2312"/>
          <w:b/>
          <w:bCs/>
          <w:sz w:val="32"/>
          <w:szCs w:val="32"/>
        </w:rPr>
        <w:t>4.上海市优化蔬菜应急保障供应体系专项调研</w:t>
      </w:r>
    </w:p>
    <w:p>
      <w:pPr>
        <w:overflowPunct w:val="0"/>
        <w:snapToGrid w:val="0"/>
        <w:spacing w:line="560" w:lineRule="exact"/>
        <w:ind w:firstLine="643" w:firstLineChars="200"/>
        <w:rPr>
          <w:rFonts w:ascii="仿宋_GB2312" w:hAnsi="仿宋_GB2312" w:eastAsia="仿宋_GB2312"/>
          <w:sz w:val="32"/>
          <w:szCs w:val="32"/>
        </w:rPr>
      </w:pPr>
      <w:r>
        <w:rPr>
          <w:rFonts w:hint="eastAsia" w:ascii="仿宋_GB2312" w:hAnsi="仿宋_GB2312" w:eastAsia="仿宋_GB2312"/>
          <w:b/>
          <w:bCs/>
          <w:sz w:val="32"/>
          <w:szCs w:val="32"/>
        </w:rPr>
        <w:t>研究重点：</w:t>
      </w:r>
      <w:r>
        <w:rPr>
          <w:rFonts w:hint="eastAsia" w:ascii="仿宋_GB2312" w:hAnsi="仿宋_GB2312" w:eastAsia="仿宋_GB2312"/>
          <w:sz w:val="32"/>
          <w:szCs w:val="32"/>
        </w:rPr>
        <w:t>（1）梳理分析近年本市蔬菜产销结构变化情况及价格波动情况；（2）开展国内及国际超大城市蔬菜应急保供政策比较研究；（3）调研分析本市蔬菜应急保障组织架构、预警指标体系及权重；（4）梳理本市重点蔬菜批发经营主体名单，研究提出针对性应急保障措施建议；（5）提出应急处置程序建议；（6）形成《上海市蔬菜应急保障供应预案》修订建议稿。</w:t>
      </w:r>
    </w:p>
    <w:p>
      <w:pPr>
        <w:overflowPunct w:val="0"/>
        <w:snapToGrid w:val="0"/>
        <w:spacing w:line="560" w:lineRule="exact"/>
        <w:ind w:firstLine="643" w:firstLineChars="200"/>
        <w:rPr>
          <w:rFonts w:ascii="楷体_GB2312" w:hAnsi="楷体_GB2312" w:eastAsia="楷体_GB2312"/>
          <w:b/>
          <w:bCs/>
          <w:sz w:val="32"/>
          <w:szCs w:val="32"/>
        </w:rPr>
      </w:pPr>
      <w:r>
        <w:rPr>
          <w:rFonts w:ascii="楷体_GB2312" w:hAnsi="楷体_GB2312" w:eastAsia="楷体_GB2312"/>
          <w:b/>
          <w:bCs/>
          <w:sz w:val="32"/>
          <w:szCs w:val="32"/>
        </w:rPr>
        <w:t>5.</w:t>
      </w:r>
      <w:r>
        <w:rPr>
          <w:rFonts w:hint="eastAsia" w:ascii="楷体_GB2312" w:hAnsi="楷体_GB2312" w:eastAsia="楷体_GB2312"/>
          <w:b/>
          <w:bCs/>
        </w:rPr>
        <w:t xml:space="preserve"> </w:t>
      </w:r>
      <w:r>
        <w:rPr>
          <w:rFonts w:hint="eastAsia" w:ascii="楷体_GB2312" w:hAnsi="楷体_GB2312" w:eastAsia="楷体_GB2312"/>
          <w:b/>
          <w:bCs/>
          <w:sz w:val="32"/>
          <w:szCs w:val="32"/>
        </w:rPr>
        <w:t>上海市促进商旅文体展融合发展重点举措专项调研</w:t>
      </w:r>
    </w:p>
    <w:p>
      <w:pPr>
        <w:overflowPunct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研究重点：（1）结合发展现状和国内外典型案例，分析上海促进商、旅、文、体、展等产业融合发展的阶段性特征、存在问题和对标方向；（2）研究提出“十五五”期间促进商旅文体展融合发展的目标和总体思路；（3）适应新形势新需求，研究运用新技术新模式，培育新业态新热点，提出深化文商会体旅产业融合发展的任务举措和政策建议。</w:t>
      </w:r>
    </w:p>
    <w:p>
      <w:pPr>
        <w:overflowPunct w:val="0"/>
        <w:snapToGrid w:val="0"/>
        <w:spacing w:line="560" w:lineRule="exact"/>
        <w:ind w:firstLine="643" w:firstLineChars="200"/>
        <w:rPr>
          <w:rFonts w:ascii="楷体_GB2312" w:hAnsi="楷体_GB2312" w:eastAsia="楷体_GB2312"/>
          <w:b/>
          <w:bCs/>
          <w:sz w:val="32"/>
          <w:szCs w:val="32"/>
        </w:rPr>
      </w:pPr>
      <w:r>
        <w:rPr>
          <w:rFonts w:ascii="楷体_GB2312" w:hAnsi="楷体_GB2312" w:eastAsia="楷体_GB2312"/>
          <w:b/>
          <w:bCs/>
          <w:sz w:val="32"/>
          <w:szCs w:val="32"/>
        </w:rPr>
        <w:t>6.</w:t>
      </w:r>
      <w:r>
        <w:rPr>
          <w:rFonts w:hint="eastAsia" w:ascii="楷体_GB2312" w:hAnsi="楷体_GB2312" w:eastAsia="楷体_GB2312"/>
          <w:b/>
          <w:bCs/>
        </w:rPr>
        <w:t xml:space="preserve"> </w:t>
      </w:r>
      <w:r>
        <w:rPr>
          <w:rFonts w:hint="eastAsia" w:ascii="楷体_GB2312" w:hAnsi="楷体_GB2312" w:eastAsia="楷体_GB2312"/>
          <w:b/>
          <w:bCs/>
          <w:sz w:val="32"/>
          <w:szCs w:val="32"/>
        </w:rPr>
        <w:t>上海会展经济效益评估专项调研</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b/>
          <w:bCs/>
          <w:sz w:val="32"/>
          <w:szCs w:val="32"/>
        </w:rPr>
        <w:t>研究重点：</w:t>
      </w:r>
      <w:r>
        <w:rPr>
          <w:rFonts w:hint="eastAsia" w:ascii="仿宋_GB2312" w:hAnsi="仿宋_GB2312" w:eastAsia="仿宋_GB2312"/>
          <w:sz w:val="32"/>
          <w:szCs w:val="32"/>
        </w:rPr>
        <w:t>（1）</w:t>
      </w:r>
      <w:r>
        <w:rPr>
          <w:rFonts w:hint="eastAsia" w:ascii="仿宋_GB2312" w:hAnsi="仿宋_GB2312" w:eastAsia="仿宋_GB2312" w:cs="仿宋_GB2312"/>
          <w:sz w:val="32"/>
          <w:szCs w:val="32"/>
        </w:rPr>
        <w:t>把握“可统计、可量化、有关联”等原则，设立定性、定量指标，建立上海会展经济效益评估分析模型；（2）选取重点展会作为案例样本，研究会展经济</w:t>
      </w:r>
      <w:r>
        <w:rPr>
          <w:rFonts w:hint="eastAsia" w:ascii="仿宋_GB2312" w:eastAsia="仿宋_GB2312" w:cs="Times New Roman"/>
          <w:sz w:val="32"/>
          <w:szCs w:val="32"/>
        </w:rPr>
        <w:t>对消费升级、产业促进、招商引资等相关产业的经济带动效益，测算形成上海会展经济效益总拉动系数；</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hint="eastAsia" w:ascii="仿宋_GB2312" w:eastAsia="仿宋_GB2312" w:cs="Times New Roman"/>
          <w:sz w:val="32"/>
          <w:szCs w:val="32"/>
        </w:rPr>
        <w:t>与国际知名会展城市进行比较研究，结合</w:t>
      </w:r>
      <w:r>
        <w:rPr>
          <w:rFonts w:hint="eastAsia" w:ascii="仿宋_GB2312" w:hAnsi="仿宋_GB2312" w:eastAsia="仿宋_GB2312" w:cs="仿宋_GB2312"/>
          <w:sz w:val="32"/>
          <w:szCs w:val="32"/>
        </w:rPr>
        <w:t>上海会展经济</w:t>
      </w:r>
      <w:bookmarkStart w:id="0" w:name="_GoBack"/>
      <w:bookmarkEnd w:id="0"/>
      <w:r>
        <w:rPr>
          <w:rFonts w:hint="eastAsia" w:ascii="仿宋_GB2312" w:hAnsi="仿宋_GB2312" w:eastAsia="仿宋_GB2312" w:cs="仿宋_GB2312"/>
          <w:sz w:val="32"/>
          <w:szCs w:val="32"/>
        </w:rPr>
        <w:t>效益评估分析结果，</w:t>
      </w:r>
      <w:r>
        <w:rPr>
          <w:rFonts w:hint="eastAsia" w:ascii="仿宋_GB2312" w:eastAsia="仿宋_GB2312" w:cs="Times New Roman"/>
          <w:sz w:val="32"/>
          <w:szCs w:val="32"/>
        </w:rPr>
        <w:t>梳理提升上海会展经济综合带动力所面临的短板和堵点问题；</w:t>
      </w:r>
      <w:r>
        <w:rPr>
          <w:rFonts w:hint="eastAsia" w:ascii="仿宋_GB2312" w:hAnsi="仿宋_GB2312" w:eastAsia="仿宋_GB2312" w:cs="仿宋_GB2312"/>
          <w:sz w:val="32"/>
          <w:szCs w:val="32"/>
        </w:rPr>
        <w:t>（4）</w:t>
      </w:r>
      <w:r>
        <w:rPr>
          <w:rFonts w:hint="eastAsia" w:ascii="仿宋_GB2312" w:eastAsia="仿宋_GB2312" w:cs="Times New Roman"/>
          <w:sz w:val="32"/>
          <w:szCs w:val="32"/>
        </w:rPr>
        <w:t>研提进一步</w:t>
      </w:r>
      <w:r>
        <w:rPr>
          <w:rFonts w:hint="eastAsia" w:ascii="仿宋_GB2312" w:hAnsi="仿宋_GB2312" w:eastAsia="仿宋_GB2312" w:cs="仿宋_GB2312"/>
          <w:sz w:val="32"/>
          <w:szCs w:val="32"/>
        </w:rPr>
        <w:t>提升上海会展经济效益的</w:t>
      </w:r>
      <w:r>
        <w:rPr>
          <w:rFonts w:hint="eastAsia" w:ascii="仿宋_GB2312" w:eastAsia="仿宋_GB2312" w:cs="Times New Roman"/>
          <w:sz w:val="32"/>
          <w:szCs w:val="32"/>
        </w:rPr>
        <w:t>对策及政策建议。</w:t>
      </w:r>
    </w:p>
    <w:p>
      <w:pPr>
        <w:overflowPunct w:val="0"/>
        <w:snapToGrid w:val="0"/>
        <w:spacing w:line="560" w:lineRule="exact"/>
        <w:ind w:firstLine="643" w:firstLineChars="200"/>
        <w:rPr>
          <w:rFonts w:ascii="楷体_GB2312" w:hAnsi="楷体_GB2312" w:eastAsia="楷体_GB2312"/>
          <w:b/>
          <w:bCs/>
          <w:sz w:val="32"/>
          <w:szCs w:val="32"/>
        </w:rPr>
      </w:pPr>
      <w:r>
        <w:rPr>
          <w:rFonts w:ascii="楷体_GB2312" w:hAnsi="楷体_GB2312" w:eastAsia="楷体_GB2312"/>
          <w:b/>
          <w:bCs/>
          <w:sz w:val="32"/>
          <w:szCs w:val="32"/>
        </w:rPr>
        <w:t>7.</w:t>
      </w:r>
      <w:r>
        <w:rPr>
          <w:rFonts w:hint="eastAsia" w:ascii="楷体_GB2312" w:hAnsi="楷体_GB2312" w:eastAsia="楷体_GB2312"/>
        </w:rPr>
        <w:t xml:space="preserve"> </w:t>
      </w:r>
      <w:r>
        <w:rPr>
          <w:rFonts w:hint="eastAsia" w:ascii="楷体_GB2312" w:hAnsi="楷体_GB2312" w:eastAsia="楷体_GB2312"/>
          <w:b/>
          <w:bCs/>
          <w:sz w:val="32"/>
          <w:szCs w:val="32"/>
        </w:rPr>
        <w:t>上海市促进汽车消费更新的路径和举措专项调研</w:t>
      </w:r>
    </w:p>
    <w:p>
      <w:pPr>
        <w:overflowPunct w:val="0"/>
        <w:snapToGrid w:val="0"/>
        <w:spacing w:line="560" w:lineRule="exact"/>
        <w:ind w:firstLine="643" w:firstLineChars="200"/>
        <w:rPr>
          <w:rFonts w:hint="eastAsia"/>
          <w:color w:val="000000" w:themeColor="text1"/>
          <w14:textFill>
            <w14:solidFill>
              <w14:schemeClr w14:val="tx1"/>
            </w14:solidFill>
          </w14:textFill>
        </w:rPr>
      </w:pPr>
      <w:r>
        <w:rPr>
          <w:rFonts w:hint="eastAsia" w:ascii="仿宋_GB2312" w:hAnsi="仿宋_GB2312" w:eastAsia="仿宋_GB2312"/>
          <w:b/>
          <w:bCs/>
          <w:sz w:val="32"/>
          <w:szCs w:val="32"/>
        </w:rPr>
        <w:t>研究重点：</w:t>
      </w:r>
      <w:r>
        <w:rPr>
          <w:rFonts w:hint="eastAsia" w:ascii="仿宋_GB2312" w:eastAsia="仿宋_GB2312" w:cs="Times New Roman"/>
          <w:sz w:val="32"/>
          <w:szCs w:val="32"/>
        </w:rPr>
        <w:t>（1）研究如何降低保有车辆平均车龄，调整燃油车和新能源车车型结构，提出推动汽车生产消费向智能化、绿色化发展的思路举措；（2）研究如何通过补贴带动和限行限制等政策出台刺激市场消费，释放消费潜力。（3）研究如何通过鼓励“销售交易网签”“服务信用评价”“消费示范区”等，进一步优化汽车消费营商环境；（4）研究如何通过提升办事管理服务，发挥信息数据服务的优势，完善配套基础设施以及配套标准体系，助力汽车更新消费，最终实现车消费服务能级和保障力度显著加强的目标。</w:t>
      </w:r>
    </w:p>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Abel">
    <w:altName w:val="DejaVu Math TeX Gyre"/>
    <w:panose1 w:val="02000506030000020004"/>
    <w:charset w:val="00"/>
    <w:family w:val="auto"/>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3F9F9A"/>
    <w:rsid w:val="333F9F9A"/>
    <w:rsid w:val="C7F61849"/>
    <w:rsid w:val="FDFB1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paragraph" w:customStyle="1" w:styleId="5">
    <w:name w:val="普通(网站)1"/>
    <w:basedOn w:val="1"/>
    <w:qFormat/>
    <w:uiPriority w:val="0"/>
    <w:pPr>
      <w:widowControl/>
      <w:spacing w:before="100" w:beforeAutospacing="1" w:after="100" w:afterAutospacing="1"/>
      <w:jc w:val="left"/>
    </w:pPr>
    <w:rPr>
      <w:rFonts w:ascii="宋体" w:hAnsi="宋体" w:eastAsia="宋体" w:cs="Times New Roman"/>
      <w:kern w:val="0"/>
      <w:sz w:val="24"/>
    </w:rPr>
  </w:style>
  <w:style w:type="paragraph" w:customStyle="1" w:styleId="6">
    <w:name w:val="文档结构图1"/>
    <w:basedOn w:val="1"/>
    <w:qFormat/>
    <w:uiPriority w:val="0"/>
    <w:pPr>
      <w:suppressAutoHyphens/>
    </w:pPr>
    <w:rPr>
      <w:rFonts w:ascii="Abel" w:hAnsi="Abel" w:eastAsia="宋体" w:cs="Times New Roman"/>
      <w:sz w:val="26"/>
      <w:szCs w:val="2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2024-05-20T22:17:00Z</dcterms:created>
  <dc:creator>shsww</dc:creator>
  <cp:lastModifiedBy>shsww</cp:lastModifiedBy>
  <dcterms:modified xsi:type="dcterms:W3CDTF">2024-05-20T15:12:25Z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45108A71340645F19AEB4A66CA2B8F06</vt:lpwstr>
  </property>
</Properties>
</file>