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仿宋_GB2312" w:eastAsia="黑体" w:cs="仿宋_GB2312"/>
          <w:sz w:val="32"/>
          <w:szCs w:val="32"/>
        </w:rPr>
      </w:pPr>
      <w:r>
        <w:rPr>
          <w:rFonts w:hint="eastAsia" w:ascii="黑体" w:hAnsi="仿宋_GB2312" w:eastAsia="黑体" w:cs="仿宋_GB2312"/>
          <w:sz w:val="32"/>
          <w:szCs w:val="32"/>
        </w:rPr>
        <w:t>附件</w:t>
      </w:r>
    </w:p>
    <w:p>
      <w:pPr>
        <w:spacing w:line="560" w:lineRule="exact"/>
        <w:jc w:val="center"/>
        <w:rPr>
          <w:rFonts w:ascii="方正小标宋简体" w:hAnsi="宋体" w:eastAsia="方正小标宋简体" w:cs="宋体"/>
          <w:bCs/>
          <w:sz w:val="36"/>
          <w:szCs w:val="36"/>
        </w:rPr>
      </w:pPr>
      <w:bookmarkStart w:id="0" w:name="_GoBack"/>
      <w:r>
        <w:rPr>
          <w:rFonts w:hint="eastAsia" w:ascii="方正小标宋简体" w:hAnsi="宋体" w:eastAsia="方正小标宋简体" w:cs="宋体"/>
          <w:bCs/>
          <w:sz w:val="36"/>
          <w:szCs w:val="36"/>
        </w:rPr>
        <w:t>2024年市商务委政务公开工作要点任务分解表</w:t>
      </w:r>
    </w:p>
    <w:bookmarkEnd w:id="0"/>
    <w:tbl>
      <w:tblPr>
        <w:tblStyle w:val="2"/>
        <w:tblpPr w:leftFromText="180" w:rightFromText="180" w:vertAnchor="text" w:horzAnchor="page" w:tblpXSpec="center" w:tblpY="381"/>
        <w:tblOverlap w:val="never"/>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095"/>
        <w:gridCol w:w="4725"/>
        <w:gridCol w:w="109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黑体"/>
                <w:bCs/>
              </w:rPr>
            </w:pPr>
            <w:r>
              <w:rPr>
                <w:rFonts w:hint="eastAsia" w:ascii="黑体" w:hAnsi="黑体" w:eastAsia="黑体" w:cs="黑体"/>
                <w:bCs/>
              </w:rPr>
              <w:t>序号</w:t>
            </w:r>
          </w:p>
        </w:tc>
        <w:tc>
          <w:tcPr>
            <w:tcW w:w="1095" w:type="dxa"/>
            <w:tcBorders>
              <w:top w:val="single" w:color="auto" w:sz="4" w:space="0"/>
              <w:left w:val="single" w:color="auto" w:sz="4" w:space="0"/>
              <w:bottom w:val="single" w:color="auto" w:sz="4" w:space="0"/>
              <w:right w:val="single" w:color="auto" w:sz="4" w:space="0"/>
            </w:tcBorders>
            <w:noWrap/>
            <w:vAlign w:val="center"/>
          </w:tcPr>
          <w:p>
            <w:pPr>
              <w:rPr>
                <w:rFonts w:ascii="黑体" w:hAnsi="黑体" w:eastAsia="黑体" w:cs="黑体"/>
                <w:bCs/>
              </w:rPr>
            </w:pPr>
            <w:r>
              <w:rPr>
                <w:rFonts w:hint="eastAsia" w:ascii="黑体" w:hAnsi="黑体" w:eastAsia="黑体" w:cs="黑体"/>
                <w:bCs/>
              </w:rPr>
              <w:t>重点工作</w:t>
            </w:r>
          </w:p>
        </w:tc>
        <w:tc>
          <w:tcPr>
            <w:tcW w:w="4725"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黑体"/>
                <w:bCs/>
              </w:rPr>
            </w:pPr>
            <w:r>
              <w:rPr>
                <w:rFonts w:hint="eastAsia" w:ascii="黑体" w:hAnsi="黑体" w:eastAsia="黑体" w:cs="黑体"/>
                <w:bCs/>
              </w:rPr>
              <w:t>具体任务</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黑体"/>
                <w:bCs/>
              </w:rPr>
            </w:pPr>
            <w:r>
              <w:rPr>
                <w:rFonts w:hint="eastAsia" w:ascii="黑体" w:hAnsi="黑体" w:eastAsia="黑体" w:cs="黑体"/>
                <w:bCs/>
              </w:rPr>
              <w:t>时间节点</w:t>
            </w:r>
          </w:p>
        </w:tc>
        <w:tc>
          <w:tcPr>
            <w:tcW w:w="1485"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黑体"/>
                <w:bCs/>
              </w:rPr>
            </w:pPr>
            <w:r>
              <w:rPr>
                <w:rFonts w:hint="eastAsia" w:ascii="黑体" w:hAnsi="黑体" w:eastAsia="黑体" w:cs="黑体"/>
                <w:bCs/>
              </w:rPr>
              <w:t>责任处办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980" w:type="dxa"/>
            <w:gridSpan w:val="5"/>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400" w:lineRule="exact"/>
              <w:rPr>
                <w:rFonts w:ascii="仿宋_GB2312" w:hAnsi="华文中宋" w:eastAsia="仿宋_GB2312"/>
                <w:kern w:val="0"/>
                <w:sz w:val="24"/>
              </w:rPr>
            </w:pPr>
            <w:r>
              <w:rPr>
                <w:rFonts w:hint="eastAsia" w:ascii="黑体" w:hAnsi="黑体" w:eastAsia="黑体" w:cs="黑体"/>
                <w:kern w:val="0"/>
                <w:sz w:val="24"/>
              </w:rPr>
              <w:t>一、推进重点领域信息公开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围绕国家重大战略任务落实做好信息公开</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围绕加快建设“五个中心”、强化“四大功能”，做好政策供给、制度创新、工作推进落实情况等方面的公开和解读。</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综合处会相关处办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2</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sz w:val="24"/>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围绕加快推进自贸试验区及临港新片区建设，深化自贸试验区高水平制度型开放，出台本市相关文件并做好解读。</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自贸处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580" w:type="dxa"/>
            <w:tcBorders>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3</w:t>
            </w:r>
          </w:p>
        </w:tc>
        <w:tc>
          <w:tcPr>
            <w:tcW w:w="1095" w:type="dxa"/>
            <w:vMerge w:val="continue"/>
            <w:tcBorders>
              <w:left w:val="single" w:color="auto" w:sz="4" w:space="0"/>
              <w:right w:val="single" w:color="auto" w:sz="4" w:space="0"/>
            </w:tcBorders>
            <w:noWrap/>
            <w:vAlign w:val="center"/>
          </w:tcPr>
          <w:p>
            <w:pPr>
              <w:rPr>
                <w:rFonts w:ascii="楷体_GB2312" w:hAnsi="华文中宋" w:eastAsia="楷体_GB2312"/>
                <w:b/>
                <w:sz w:val="32"/>
                <w:szCs w:val="3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推进“丝路电商”合作先行区、国家服务贸易创新发展示范区建设等阶段性成果公开。</w:t>
            </w:r>
          </w:p>
        </w:tc>
        <w:tc>
          <w:tcPr>
            <w:tcW w:w="1095" w:type="dxa"/>
            <w:tcBorders>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服贸处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80" w:type="dxa"/>
            <w:tcBorders>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4</w:t>
            </w:r>
          </w:p>
        </w:tc>
        <w:tc>
          <w:tcPr>
            <w:tcW w:w="1095" w:type="dxa"/>
            <w:vMerge w:val="continue"/>
            <w:tcBorders>
              <w:left w:val="single" w:color="auto" w:sz="4" w:space="0"/>
              <w:bottom w:val="single" w:color="auto" w:sz="4" w:space="0"/>
              <w:right w:val="single" w:color="auto" w:sz="4" w:space="0"/>
            </w:tcBorders>
            <w:noWrap/>
            <w:vAlign w:val="center"/>
          </w:tcPr>
          <w:p>
            <w:pPr>
              <w:rPr>
                <w:rFonts w:ascii="楷体_GB2312" w:hAnsi="华文中宋" w:eastAsia="楷体_GB2312"/>
                <w:b/>
                <w:sz w:val="32"/>
                <w:szCs w:val="3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shd w:val="clear" w:color="auto" w:fill="FFFFFF"/>
              <w:rPr>
                <w:rFonts w:ascii="仿宋_GB2312" w:hAnsi="华文中宋" w:eastAsia="仿宋_GB2312"/>
              </w:rPr>
            </w:pPr>
            <w:r>
              <w:rPr>
                <w:rFonts w:hint="eastAsia" w:ascii="仿宋_GB2312" w:hAnsi="华文中宋" w:eastAsia="仿宋_GB2312"/>
              </w:rPr>
              <w:t>做好第七届中国国际进口博览会活动资讯、服务保障和上海交易团交易成果的信息公开，加强溢出带动效应宣传。</w:t>
            </w:r>
          </w:p>
        </w:tc>
        <w:tc>
          <w:tcPr>
            <w:tcW w:w="1095" w:type="dxa"/>
            <w:tcBorders>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进博协调处、贸发处、会展业处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5</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围绕促进经济平稳健康发展做好信息公开</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绕促进和扩大消费，做好“一节六季”等重大促消费活动信息公开及大宗消费、绿色消费、服务消费、数字消费、诚信消费等重点消费领域的政策发布和解读。</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商贸处、市场处、服务业处、电商处、秩序处等相关处办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6</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围绕推动外贸稳市场稳主体，做好RCEP惠企服务、海外重点展会、跨境电商、口岸工作等政策、资讯的信息公开。</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贸发处、自贸处、口岸处、通关处等相关处办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7</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围绕促进利用外资提质增效，做好投促政策、总部工作、“投资上海·共享未来”海外行系列活动等相关信息公开。</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促进处、</w:t>
            </w:r>
          </w:p>
          <w:p>
            <w:pPr>
              <w:rPr>
                <w:rFonts w:ascii="仿宋_GB2312" w:hAnsi="华文中宋" w:eastAsia="仿宋_GB2312"/>
              </w:rPr>
            </w:pPr>
            <w:r>
              <w:rPr>
                <w:rFonts w:hint="eastAsia" w:ascii="仿宋_GB2312" w:hAnsi="华文中宋" w:eastAsia="仿宋_GB2312"/>
              </w:rPr>
              <w:t>外资处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8</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围绕提升“走出去”发展能级，做好相关政策、服务活动发布和解读。</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外经处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9</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围绕促进创新转型，做好服务贸易、数字贸易、绿色贸易、生产性互联网服务平台、邮轮经济、会展经济等政策发布和解读。</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服贸处、市场处、浦江办、会展业处等相关处办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10</w:t>
            </w:r>
          </w:p>
        </w:tc>
        <w:tc>
          <w:tcPr>
            <w:tcW w:w="1095" w:type="dxa"/>
            <w:vMerge w:val="continue"/>
            <w:tcBorders>
              <w:left w:val="single" w:color="auto" w:sz="4" w:space="0"/>
              <w:bottom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围绕优化保供体系，做好推进早餐民心工程建设、生活服务业提质扩容、标准化菜市场项目建设等民生保障工作推进情况的公开。</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服务业处、</w:t>
            </w:r>
          </w:p>
          <w:p>
            <w:pPr>
              <w:rPr>
                <w:rFonts w:ascii="仿宋_GB2312" w:hAnsi="华文中宋" w:eastAsia="仿宋_GB2312"/>
              </w:rPr>
            </w:pPr>
            <w:r>
              <w:rPr>
                <w:rFonts w:hint="eastAsia" w:ascii="仿宋_GB2312" w:hAnsi="华文中宋" w:eastAsia="仿宋_GB2312"/>
              </w:rPr>
              <w:t>运行处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80" w:type="dxa"/>
            <w:gridSpan w:val="5"/>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黑体" w:hAnsi="黑体" w:eastAsia="黑体" w:cs="黑体"/>
                <w:sz w:val="24"/>
              </w:rPr>
              <w:t>二、完善政策公开和推送机制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11</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提升</w:t>
            </w:r>
            <w:r>
              <w:rPr>
                <w:rFonts w:ascii="仿宋_GB2312" w:hAnsi="华文中宋" w:eastAsia="仿宋_GB2312"/>
              </w:rPr>
              <w:t>政策解读</w:t>
            </w:r>
            <w:r>
              <w:rPr>
                <w:rFonts w:hint="eastAsia" w:ascii="仿宋_GB2312" w:hAnsi="华文中宋" w:eastAsia="仿宋_GB2312"/>
              </w:rPr>
              <w:t>质效</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严格落实</w:t>
            </w:r>
            <w:r>
              <w:rPr>
                <w:rFonts w:ascii="仿宋_GB2312" w:hAnsi="华文中宋" w:eastAsia="仿宋_GB2312"/>
              </w:rPr>
              <w:t>政策解读与政策文件同步起草、同步审签、同步发布</w:t>
            </w:r>
            <w:r>
              <w:rPr>
                <w:rFonts w:hint="eastAsia" w:ascii="仿宋_GB2312" w:hAnsi="华文中宋" w:eastAsia="仿宋_GB2312"/>
              </w:rPr>
              <w:t>“</w:t>
            </w:r>
            <w:r>
              <w:rPr>
                <w:rFonts w:ascii="仿宋_GB2312" w:hAnsi="华文中宋" w:eastAsia="仿宋_GB2312"/>
              </w:rPr>
              <w:t>三同步”要求，将政策解读放到与政策制定同等重要位置，同步考虑、同步安排。</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12</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健全政策全周期解读工作机制，落实国务院办公厅关于政策公开征询期间草案解读的工作要求，加强政策发布阶段精细化解读，做好政策跟踪解读和热点回应。</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13</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推进</w:t>
            </w:r>
            <w:r>
              <w:rPr>
                <w:rFonts w:ascii="仿宋_GB2312" w:hAnsi="华文中宋" w:eastAsia="仿宋_GB2312"/>
              </w:rPr>
              <w:t>政策集成</w:t>
            </w:r>
            <w:r>
              <w:rPr>
                <w:rFonts w:hint="eastAsia" w:ascii="仿宋_GB2312" w:hAnsi="华文中宋" w:eastAsia="仿宋_GB2312"/>
              </w:rPr>
              <w:t>式</w:t>
            </w:r>
            <w:r>
              <w:rPr>
                <w:rFonts w:ascii="仿宋_GB2312" w:hAnsi="华文中宋" w:eastAsia="仿宋_GB2312"/>
              </w:rPr>
              <w:t>发布</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聚焦</w:t>
            </w:r>
            <w:r>
              <w:rPr>
                <w:rFonts w:hint="eastAsia" w:ascii="仿宋_GB2312" w:hAnsi="华文中宋" w:eastAsia="仿宋_GB2312"/>
              </w:rPr>
              <w:t>企业群众</w:t>
            </w:r>
            <w:r>
              <w:rPr>
                <w:rFonts w:ascii="仿宋_GB2312" w:hAnsi="华文中宋" w:eastAsia="仿宋_GB2312"/>
              </w:rPr>
              <w:t>关切</w:t>
            </w:r>
            <w:r>
              <w:rPr>
                <w:rFonts w:hint="eastAsia" w:ascii="仿宋_GB2312" w:hAnsi="华文中宋" w:eastAsia="仿宋_GB2312"/>
              </w:rPr>
              <w:t>，</w:t>
            </w:r>
            <w:r>
              <w:rPr>
                <w:rFonts w:ascii="仿宋_GB2312" w:hAnsi="华文中宋" w:eastAsia="仿宋_GB2312"/>
              </w:rPr>
              <w:t>结合</w:t>
            </w:r>
            <w:r>
              <w:rPr>
                <w:rFonts w:hint="eastAsia" w:ascii="仿宋_GB2312" w:hAnsi="华文中宋" w:eastAsia="仿宋_GB2312"/>
              </w:rPr>
              <w:t>各业务领域工作</w:t>
            </w:r>
            <w:r>
              <w:rPr>
                <w:rFonts w:ascii="仿宋_GB2312" w:hAnsi="华文中宋" w:eastAsia="仿宋_GB2312"/>
              </w:rPr>
              <w:t>，</w:t>
            </w:r>
            <w:r>
              <w:rPr>
                <w:rFonts w:hint="eastAsia" w:ascii="仿宋_GB2312" w:hAnsi="华文中宋" w:eastAsia="仿宋_GB2312"/>
              </w:rPr>
              <w:t>分主题打造特色政策集成发布产品</w:t>
            </w:r>
            <w:r>
              <w:rPr>
                <w:rFonts w:ascii="仿宋_GB2312" w:hAnsi="华文中宋" w:eastAsia="仿宋_GB2312"/>
              </w:rPr>
              <w:t>。</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11月底前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14</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探索运用人工智能、大数据等新技术对惠企政策进行拆解与整合，打造实用性强、服务面广的</w:t>
            </w:r>
            <w:r>
              <w:rPr>
                <w:rFonts w:hint="eastAsia" w:ascii="仿宋_GB2312" w:hAnsi="华文中宋" w:eastAsia="仿宋_GB2312"/>
              </w:rPr>
              <w:t>“</w:t>
            </w:r>
            <w:r>
              <w:rPr>
                <w:rFonts w:ascii="仿宋_GB2312" w:hAnsi="华文中宋" w:eastAsia="仿宋_GB2312"/>
              </w:rPr>
              <w:t>政策服务包”。</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11月底前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业务相关处办牵头，电商处配合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15</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做好“中国上海”门户网站“惠企政策”“营商环境”“涉外政策”等集成主题的政策推送，完善标签体系，确保</w:t>
            </w:r>
            <w:r>
              <w:rPr>
                <w:rFonts w:ascii="仿宋_GB2312" w:hAnsi="华文中宋" w:eastAsia="仿宋_GB2312"/>
              </w:rPr>
              <w:t>文件</w:t>
            </w:r>
            <w:r>
              <w:rPr>
                <w:rFonts w:hint="eastAsia" w:ascii="仿宋_GB2312" w:hAnsi="华文中宋" w:eastAsia="仿宋_GB2312"/>
              </w:rPr>
              <w:t>“</w:t>
            </w:r>
            <w:r>
              <w:rPr>
                <w:rFonts w:ascii="仿宋_GB2312" w:hAnsi="华文中宋" w:eastAsia="仿宋_GB2312"/>
              </w:rPr>
              <w:t>应归尽归”</w:t>
            </w:r>
            <w:r>
              <w:rPr>
                <w:rFonts w:hint="eastAsia" w:ascii="仿宋_GB2312" w:hAnsi="华文中宋" w:eastAsia="仿宋_GB2312"/>
              </w:rPr>
              <w:t>。</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办公室、电商处牵头，各处办配合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16</w:t>
            </w:r>
          </w:p>
        </w:tc>
        <w:tc>
          <w:tcPr>
            <w:tcW w:w="1095" w:type="dxa"/>
            <w:vMerge w:val="restart"/>
            <w:tcBorders>
              <w:left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优化政策推送与订阅服务</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结合政策目标受众特点和实际需求，综合运用</w:t>
            </w:r>
            <w:r>
              <w:rPr>
                <w:rFonts w:hint="eastAsia" w:ascii="仿宋_GB2312" w:hAnsi="华文中宋" w:eastAsia="仿宋_GB2312"/>
              </w:rPr>
              <w:t>“</w:t>
            </w:r>
            <w:r>
              <w:rPr>
                <w:rFonts w:ascii="仿宋_GB2312" w:hAnsi="华文中宋" w:eastAsia="仿宋_GB2312"/>
              </w:rPr>
              <w:t>四类推送法”（通过</w:t>
            </w:r>
            <w:r>
              <w:rPr>
                <w:rFonts w:hint="eastAsia" w:ascii="仿宋_GB2312" w:hAnsi="华文中宋" w:eastAsia="仿宋_GB2312"/>
              </w:rPr>
              <w:t>“</w:t>
            </w:r>
            <w:r>
              <w:rPr>
                <w:rFonts w:ascii="仿宋_GB2312" w:hAnsi="华文中宋" w:eastAsia="仿宋_GB2312"/>
              </w:rPr>
              <w:t>一网通办”开展精准推送或订阅服务，通过第三方互联网资讯平台开展广泛推送，通过短消息等传统网络通讯方式开展办事类政策及申报渠道的直达推送，通过政务服务窗口、行业协会、商会、产业园区等线下渠道开展接力推送），扩大推送成效。</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业务相关处办牵头，办公室、电商处配合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17</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建立健全政策订阅服务机制，便利企业群众结合自身需求订阅相关主题政策，提升政策推送的适配性。</w:t>
            </w:r>
          </w:p>
        </w:tc>
        <w:tc>
          <w:tcPr>
            <w:tcW w:w="109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11月底前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业务相关处办牵头，办公室、电商处配合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18</w:t>
            </w:r>
          </w:p>
        </w:tc>
        <w:tc>
          <w:tcPr>
            <w:tcW w:w="1095" w:type="dxa"/>
            <w:vMerge w:val="restart"/>
            <w:tcBorders>
              <w:left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加强政策留言板建设</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丰富政策留言板功能，增设政策评价与建议窗口</w:t>
            </w:r>
            <w:r>
              <w:rPr>
                <w:rFonts w:hint="eastAsia" w:ascii="仿宋_GB2312" w:hAnsi="华文中宋" w:eastAsia="仿宋_GB2312"/>
              </w:rPr>
              <w:t>。</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9月底前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电商处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19</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健全政策留言板咨询回应机制，提高回应的针对性、实效性。在</w:t>
            </w:r>
            <w:r>
              <w:rPr>
                <w:rFonts w:hint="eastAsia" w:ascii="仿宋_GB2312" w:hAnsi="华文中宋" w:eastAsia="仿宋_GB2312"/>
              </w:rPr>
              <w:t>“</w:t>
            </w:r>
            <w:r>
              <w:rPr>
                <w:rFonts w:ascii="仿宋_GB2312" w:hAnsi="华文中宋" w:eastAsia="仿宋_GB2312"/>
              </w:rPr>
              <w:t>一网通办”个人和企业专属空间开通政策咨询和回复内容查阅途径。</w:t>
            </w:r>
          </w:p>
        </w:tc>
        <w:tc>
          <w:tcPr>
            <w:tcW w:w="109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10月底前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电商处、</w:t>
            </w:r>
          </w:p>
          <w:p>
            <w:pPr>
              <w:rPr>
                <w:rFonts w:ascii="仿宋_GB2312" w:hAnsi="华文中宋" w:eastAsia="仿宋_GB2312"/>
              </w:rPr>
            </w:pPr>
            <w:r>
              <w:rPr>
                <w:rFonts w:hint="eastAsia" w:ascii="仿宋_GB2312" w:hAnsi="华文中宋" w:eastAsia="仿宋_GB2312"/>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20</w:t>
            </w:r>
          </w:p>
        </w:tc>
        <w:tc>
          <w:tcPr>
            <w:tcW w:w="1095" w:type="dxa"/>
            <w:vMerge w:val="continue"/>
            <w:tcBorders>
              <w:left w:val="single" w:color="auto" w:sz="4" w:space="0"/>
              <w:bottom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加强政策咨询回复的转化运用，对咨询较为集中的问题，形成常见问题与解答清单并公开发布；对留言反映较为集中的问题、建议或其他重要情况，及时启动专题调查。</w:t>
            </w:r>
          </w:p>
        </w:tc>
        <w:tc>
          <w:tcPr>
            <w:tcW w:w="109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11月底前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21</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扩大政策阅办联动覆盖面</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坚持以用为要，推动政策文件发布界面与</w:t>
            </w:r>
            <w:r>
              <w:rPr>
                <w:rFonts w:hint="eastAsia" w:ascii="仿宋_GB2312" w:hAnsi="华文中宋" w:eastAsia="仿宋_GB2312"/>
              </w:rPr>
              <w:t>“</w:t>
            </w:r>
            <w:r>
              <w:rPr>
                <w:rFonts w:ascii="仿宋_GB2312" w:hAnsi="华文中宋" w:eastAsia="仿宋_GB2312"/>
              </w:rPr>
              <w:t>一网通办”高频办事事项全面实现阅办联动。年内新增政策文件包含</w:t>
            </w:r>
            <w:r>
              <w:rPr>
                <w:rFonts w:hint="eastAsia" w:ascii="仿宋_GB2312" w:hAnsi="华文中宋" w:eastAsia="仿宋_GB2312"/>
              </w:rPr>
              <w:t>“</w:t>
            </w:r>
            <w:r>
              <w:rPr>
                <w:rFonts w:ascii="仿宋_GB2312" w:hAnsi="华文中宋" w:eastAsia="仿宋_GB2312"/>
              </w:rPr>
              <w:t>一网通办”办事事项的，全面上线阅办联动功能。</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办公室、电商处牵头，各处办配合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sz w:val="24"/>
              </w:rPr>
              <w:t>22</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加强阅办联动功能的技术巡检，确保跳转链接不断链。</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电商处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980" w:type="dxa"/>
            <w:gridSpan w:val="5"/>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黑体" w:hAnsi="黑体" w:eastAsia="黑体" w:cs="黑体"/>
                <w:sz w:val="24"/>
              </w:rPr>
              <w:t>三、优化政民互动和公众参与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23</w:t>
            </w:r>
          </w:p>
        </w:tc>
        <w:tc>
          <w:tcPr>
            <w:tcW w:w="1095" w:type="dxa"/>
            <w:vMerge w:val="restart"/>
            <w:tcBorders>
              <w:left w:val="single" w:color="auto" w:sz="4" w:space="0"/>
              <w:right w:val="single" w:color="auto" w:sz="4" w:space="0"/>
            </w:tcBorders>
            <w:noWrap/>
            <w:vAlign w:val="center"/>
          </w:tcPr>
          <w:p>
            <w:pPr>
              <w:wordWrap w:val="0"/>
              <w:rPr>
                <w:rFonts w:ascii="仿宋_GB2312" w:hAnsi="华文中宋" w:eastAsia="仿宋_GB2312"/>
              </w:rPr>
            </w:pPr>
            <w:r>
              <w:rPr>
                <w:rFonts w:ascii="仿宋_GB2312" w:hAnsi="华文中宋" w:eastAsia="仿宋_GB2312"/>
              </w:rPr>
              <w:t>加强政策制定过程中的公众参与</w:t>
            </w:r>
          </w:p>
        </w:tc>
        <w:tc>
          <w:tcPr>
            <w:tcW w:w="4725" w:type="dxa"/>
            <w:tcBorders>
              <w:top w:val="single" w:color="auto" w:sz="4" w:space="0"/>
              <w:left w:val="single" w:color="auto" w:sz="4" w:space="0"/>
              <w:bottom w:val="single" w:color="auto" w:sz="4" w:space="0"/>
              <w:right w:val="single" w:color="auto" w:sz="4" w:space="0"/>
            </w:tcBorders>
            <w:noWrap/>
            <w:vAlign w:val="center"/>
          </w:tcPr>
          <w:p>
            <w:pPr>
              <w:wordWrap w:val="0"/>
              <w:rPr>
                <w:rFonts w:ascii="仿宋_GB2312" w:hAnsi="华文中宋" w:eastAsia="仿宋_GB2312"/>
              </w:rPr>
            </w:pPr>
            <w:r>
              <w:rPr>
                <w:rFonts w:ascii="仿宋_GB2312" w:hAnsi="华文中宋" w:eastAsia="仿宋_GB2312"/>
              </w:rPr>
              <w:t>完善政策制定公众参与机制，通过</w:t>
            </w:r>
            <w:r>
              <w:rPr>
                <w:rFonts w:hint="eastAsia" w:ascii="仿宋_GB2312" w:hAnsi="华文中宋" w:eastAsia="仿宋_GB2312"/>
              </w:rPr>
              <w:t>门户</w:t>
            </w:r>
            <w:r>
              <w:rPr>
                <w:rFonts w:ascii="仿宋_GB2312" w:hAnsi="华文中宋" w:eastAsia="仿宋_GB2312"/>
              </w:rPr>
              <w:t>网站、政务新媒体等方便公众知晓并参与的途径，向社会公开征询意见。</w:t>
            </w:r>
          </w:p>
        </w:tc>
        <w:tc>
          <w:tcPr>
            <w:tcW w:w="1095"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wordWrap w:val="0"/>
              <w:rPr>
                <w:rFonts w:ascii="仿宋_GB2312" w:hAnsi="华文中宋" w:eastAsia="仿宋_GB2312"/>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24</w:t>
            </w:r>
          </w:p>
        </w:tc>
        <w:tc>
          <w:tcPr>
            <w:tcW w:w="1095" w:type="dxa"/>
            <w:vMerge w:val="continue"/>
            <w:tcBorders>
              <w:left w:val="single" w:color="auto" w:sz="4" w:space="0"/>
              <w:bottom w:val="single" w:color="auto" w:sz="4" w:space="0"/>
              <w:right w:val="single" w:color="auto" w:sz="4" w:space="0"/>
            </w:tcBorders>
            <w:noWrap/>
            <w:vAlign w:val="center"/>
          </w:tcPr>
          <w:p>
            <w:pPr>
              <w:wordWrap w:val="0"/>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wordWrap w:val="0"/>
              <w:rPr>
                <w:rFonts w:ascii="仿宋_GB2312" w:hAnsi="华文中宋" w:eastAsia="仿宋_GB2312"/>
              </w:rPr>
            </w:pPr>
            <w:r>
              <w:rPr>
                <w:rFonts w:ascii="仿宋_GB2312" w:hAnsi="华文中宋" w:eastAsia="仿宋_GB2312"/>
              </w:rPr>
              <w:t>加强听取意见的针对性，制定涉企政策时，重点听取相关企业和行业协会、商会的意见；制定改进与保障民生方面政策时，充分了解基层一线需求；制定涉及特定群体利益政策时，充分听取相关人民团体、社会组织、群体代表的意见。</w:t>
            </w:r>
          </w:p>
        </w:tc>
        <w:tc>
          <w:tcPr>
            <w:tcW w:w="1095" w:type="dxa"/>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wordWrap w:val="0"/>
              <w:rPr>
                <w:rFonts w:ascii="仿宋_GB2312" w:hAnsi="华文中宋" w:eastAsia="仿宋_GB2312"/>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25</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优化公众代表列席会议机制</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推动</w:t>
            </w:r>
            <w:r>
              <w:rPr>
                <w:rFonts w:hint="eastAsia" w:ascii="仿宋_GB2312" w:hAnsi="华文中宋" w:eastAsia="仿宋_GB2312"/>
              </w:rPr>
              <w:t>更多商务领域重点工作或社会公众关注度较高的</w:t>
            </w:r>
            <w:r>
              <w:rPr>
                <w:rFonts w:ascii="仿宋_GB2312" w:hAnsi="华文中宋" w:eastAsia="仿宋_GB2312"/>
              </w:rPr>
              <w:t>议题</w:t>
            </w:r>
            <w:r>
              <w:rPr>
                <w:rFonts w:hint="eastAsia" w:ascii="仿宋_GB2312" w:hAnsi="华文中宋" w:eastAsia="仿宋_GB2312"/>
              </w:rPr>
              <w:t>开展会议公开，</w:t>
            </w:r>
            <w:r>
              <w:rPr>
                <w:rFonts w:ascii="仿宋_GB2312" w:hAnsi="华文中宋" w:eastAsia="仿宋_GB2312"/>
              </w:rPr>
              <w:t>邀请公众代表列席</w:t>
            </w:r>
            <w:r>
              <w:rPr>
                <w:rFonts w:hint="eastAsia" w:ascii="仿宋_GB2312" w:hAnsi="华文中宋" w:eastAsia="仿宋_GB2312"/>
              </w:rPr>
              <w:t>，</w:t>
            </w:r>
            <w:r>
              <w:rPr>
                <w:rFonts w:ascii="仿宋_GB2312" w:hAnsi="华文中宋" w:eastAsia="仿宋_GB2312"/>
              </w:rPr>
              <w:t>原则上列入重大</w:t>
            </w:r>
            <w:r>
              <w:rPr>
                <w:rFonts w:hint="eastAsia" w:ascii="仿宋_GB2312" w:hAnsi="华文中宋" w:eastAsia="仿宋_GB2312"/>
              </w:rPr>
              <w:t>行政</w:t>
            </w:r>
            <w:r>
              <w:rPr>
                <w:rFonts w:ascii="仿宋_GB2312" w:hAnsi="华文中宋" w:eastAsia="仿宋_GB2312"/>
              </w:rPr>
              <w:t>决策目录的政策文件和行政规范性文件，审议时都应邀请</w:t>
            </w:r>
            <w:r>
              <w:rPr>
                <w:rFonts w:hint="eastAsia" w:ascii="仿宋_GB2312" w:hAnsi="华文中宋" w:eastAsia="仿宋_GB2312"/>
              </w:rPr>
              <w:t>利益相关方</w:t>
            </w:r>
            <w:r>
              <w:rPr>
                <w:rFonts w:ascii="仿宋_GB2312" w:hAnsi="华文中宋" w:eastAsia="仿宋_GB2312"/>
              </w:rPr>
              <w:t>列席。</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11月底前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服务业处、运行处、公贸处、外经处、服贸处、贸发处等相关处办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right w:val="single" w:color="auto" w:sz="4" w:space="0"/>
            </w:tcBorders>
            <w:noWrap/>
            <w:vAlign w:val="center"/>
          </w:tcPr>
          <w:p>
            <w:pPr>
              <w:jc w:val="center"/>
              <w:rPr>
                <w:rFonts w:ascii="仿宋_GB2312" w:hAnsi="华文中宋" w:eastAsia="仿宋_GB2312"/>
                <w:sz w:val="24"/>
              </w:rPr>
            </w:pPr>
            <w:r>
              <w:rPr>
                <w:rFonts w:hint="eastAsia" w:ascii="仿宋_GB2312" w:hAnsi="华文中宋" w:eastAsia="仿宋_GB2312"/>
                <w:sz w:val="24"/>
              </w:rPr>
              <w:t>26</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做好相关会议信息的主动公开。</w:t>
            </w:r>
          </w:p>
        </w:tc>
        <w:tc>
          <w:tcPr>
            <w:tcW w:w="1095" w:type="dxa"/>
            <w:tcBorders>
              <w:top w:val="single" w:color="auto" w:sz="4" w:space="0"/>
              <w:left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11月底前</w:t>
            </w:r>
          </w:p>
        </w:tc>
        <w:tc>
          <w:tcPr>
            <w:tcW w:w="1485" w:type="dxa"/>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27</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常态化推进政府开放活动</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围绕市委、市政府重点工作，推动政府开放活动常态化</w:t>
            </w:r>
            <w:r>
              <w:rPr>
                <w:rFonts w:hint="eastAsia" w:ascii="仿宋_GB2312" w:hAnsi="华文中宋" w:eastAsia="仿宋_GB2312"/>
              </w:rPr>
              <w:t>，深化“商务开放课堂”品牌</w:t>
            </w:r>
            <w:r>
              <w:rPr>
                <w:rFonts w:ascii="仿宋_GB2312" w:hAnsi="华文中宋" w:eastAsia="仿宋_GB2312"/>
              </w:rPr>
              <w:t>。</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highlight w:val="green"/>
              </w:rPr>
            </w:pPr>
            <w:r>
              <w:rPr>
                <w:rFonts w:hint="eastAsia" w:ascii="仿宋_GB2312" w:hAnsi="华文中宋" w:eastAsia="仿宋_GB2312"/>
              </w:rPr>
              <w:t>11月底前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highlight w:val="green"/>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28</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做深做实</w:t>
            </w:r>
            <w:r>
              <w:rPr>
                <w:rFonts w:hint="eastAsia" w:ascii="仿宋_GB2312" w:hAnsi="华文中宋" w:eastAsia="仿宋_GB2312"/>
              </w:rPr>
              <w:t>“</w:t>
            </w:r>
            <w:r>
              <w:rPr>
                <w:rFonts w:ascii="仿宋_GB2312" w:hAnsi="华文中宋" w:eastAsia="仿宋_GB2312"/>
              </w:rPr>
              <w:t>政府开放月</w:t>
            </w:r>
            <w:r>
              <w:rPr>
                <w:rFonts w:hint="eastAsia" w:ascii="仿宋_GB2312" w:hAnsi="华文中宋" w:eastAsia="仿宋_GB2312"/>
              </w:rPr>
              <w:t>”，</w:t>
            </w:r>
            <w:r>
              <w:rPr>
                <w:rFonts w:ascii="仿宋_GB2312" w:hAnsi="华文中宋" w:eastAsia="仿宋_GB2312"/>
              </w:rPr>
              <w:t>8月</w:t>
            </w:r>
            <w:r>
              <w:rPr>
                <w:rFonts w:hint="eastAsia" w:ascii="仿宋_GB2312" w:hAnsi="华文中宋" w:eastAsia="仿宋_GB2312"/>
              </w:rPr>
              <w:t>以企业群众关注热点、商务领域重点工作为主题，</w:t>
            </w:r>
            <w:r>
              <w:rPr>
                <w:rFonts w:ascii="仿宋_GB2312" w:hAnsi="华文中宋" w:eastAsia="仿宋_GB2312"/>
              </w:rPr>
              <w:t>集中组织开展线上线下开放活动。</w:t>
            </w:r>
            <w:r>
              <w:rPr>
                <w:rFonts w:hint="eastAsia" w:ascii="仿宋_GB2312" w:hAnsi="华文中宋" w:eastAsia="仿宋_GB2312"/>
              </w:rPr>
              <w:t>今年我委拟围绕“上海之夏”国际消费季、服务贸易、新型消费、民生保障、“走出去”服务等为主题开展政府开放活动，期间安排答疑、座谈、活动体验、问卷调查等环节，加强与参与公众互动。</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highlight w:val="green"/>
              </w:rPr>
            </w:pPr>
            <w:r>
              <w:rPr>
                <w:rFonts w:hint="eastAsia" w:ascii="仿宋_GB2312" w:hAnsi="华文中宋" w:eastAsia="仿宋_GB2312"/>
              </w:rPr>
              <w:t>8月</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highlight w:val="green"/>
              </w:rPr>
            </w:pPr>
            <w:r>
              <w:rPr>
                <w:rFonts w:hint="eastAsia" w:ascii="仿宋_GB2312" w:hAnsi="华文中宋" w:eastAsia="仿宋_GB2312"/>
              </w:rPr>
              <w:t>商贸处、服贸处、电商处、服务业处、运行处、外经处等相关处办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980" w:type="dxa"/>
            <w:gridSpan w:val="5"/>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黑体" w:hAnsi="黑体" w:eastAsia="黑体" w:cs="黑体"/>
                <w:sz w:val="24"/>
              </w:rPr>
              <w:t>四、夯实工作基础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29</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更好统筹政务公开和安全保密</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根据国务院办公厅统一部署，分领域</w:t>
            </w:r>
            <w:r>
              <w:rPr>
                <w:rFonts w:hint="eastAsia" w:ascii="仿宋_GB2312" w:hAnsi="华文中宋" w:eastAsia="仿宋_GB2312"/>
              </w:rPr>
              <w:t>、分层级</w:t>
            </w:r>
            <w:r>
              <w:rPr>
                <w:rFonts w:ascii="仿宋_GB2312" w:hAnsi="华文中宋" w:eastAsia="仿宋_GB2312"/>
              </w:rPr>
              <w:t>确定法定公开事项，形成主动公开事项目录，实行清单化管理，做到法定公开事项主动公开到位。围绕市委、市政府中心工作，依法规范做实主动公开。</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办公室牵头，各处办配合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30</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坚持</w:t>
            </w:r>
            <w:r>
              <w:rPr>
                <w:rFonts w:hint="eastAsia" w:ascii="仿宋_GB2312" w:hAnsi="华文中宋" w:eastAsia="仿宋_GB2312"/>
              </w:rPr>
              <w:t>“</w:t>
            </w:r>
            <w:r>
              <w:rPr>
                <w:rFonts w:ascii="仿宋_GB2312" w:hAnsi="华文中宋" w:eastAsia="仿宋_GB2312"/>
              </w:rPr>
              <w:t>先审查、后公开</w:t>
            </w:r>
            <w:r>
              <w:rPr>
                <w:rFonts w:hint="eastAsia" w:ascii="仿宋_GB2312" w:hAnsi="华文中宋" w:eastAsia="仿宋_GB2312"/>
              </w:rPr>
              <w:t>”</w:t>
            </w:r>
            <w:r>
              <w:rPr>
                <w:rFonts w:ascii="仿宋_GB2312" w:hAnsi="华文中宋" w:eastAsia="仿宋_GB2312"/>
              </w:rPr>
              <w:t>和</w:t>
            </w:r>
            <w:r>
              <w:rPr>
                <w:rFonts w:hint="eastAsia" w:ascii="仿宋_GB2312" w:hAnsi="华文中宋" w:eastAsia="仿宋_GB2312"/>
              </w:rPr>
              <w:t>“</w:t>
            </w:r>
            <w:r>
              <w:rPr>
                <w:rFonts w:ascii="仿宋_GB2312" w:hAnsi="华文中宋" w:eastAsia="仿宋_GB2312"/>
              </w:rPr>
              <w:t>一事一审</w:t>
            </w:r>
            <w:r>
              <w:rPr>
                <w:rFonts w:hint="eastAsia" w:ascii="仿宋_GB2312" w:hAnsi="华文中宋" w:eastAsia="仿宋_GB2312"/>
              </w:rPr>
              <w:t>”</w:t>
            </w:r>
            <w:r>
              <w:rPr>
                <w:rFonts w:ascii="仿宋_GB2312" w:hAnsi="华文中宋" w:eastAsia="仿宋_GB2312"/>
              </w:rPr>
              <w:t>原则，完善公文公开属性认定流程。</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31</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依法对拟公开信息进行保密审查，防止泄露国家秘密、工作秘密和敏感信息，防范数据汇聚引发泄密风险。加强对个人隐私和商业秘密的保护。</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办公室牵头，机关各处办配合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32</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严格执行公文信息发布审查程序，科学合理确定公开发布方式，对公开内容仅涉及特定对象的，实行定点、定向公开。把握好政策发布的时度效，合理引导社会和市场预期。</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华文中宋" w:eastAsia="仿宋_GB2312"/>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各处办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33</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加强政务公开平台建设</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根据国务院办公厅、市政府办公厅对门户网站改版更新的部署要求，对委门户网站重新设计并改版上线。</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rPr>
              <w:t>10月底前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仿宋_GB2312" w:hAnsi="华文中宋" w:eastAsia="仿宋_GB2312"/>
              </w:rPr>
            </w:pPr>
            <w:r>
              <w:rPr>
                <w:rFonts w:hint="eastAsia" w:ascii="仿宋_GB2312" w:hAnsi="华文中宋" w:eastAsia="仿宋_GB2312"/>
              </w:rPr>
              <w:t>办公室、</w:t>
            </w:r>
          </w:p>
          <w:p>
            <w:pPr>
              <w:spacing w:line="320" w:lineRule="exact"/>
              <w:rPr>
                <w:rFonts w:ascii="仿宋_GB2312" w:hAnsi="华文中宋" w:eastAsia="仿宋_GB2312"/>
                <w:szCs w:val="21"/>
              </w:rPr>
            </w:pPr>
            <w:r>
              <w:rPr>
                <w:rFonts w:hint="eastAsia" w:ascii="仿宋_GB2312" w:hAnsi="华文中宋" w:eastAsia="仿宋_GB2312"/>
              </w:rPr>
              <w:t>电商处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34</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加强政府信息公开与政务公开栏目的衔接融合，提升公众获取信息便利性。</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rPr>
              <w:t>10月底前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仿宋_GB2312" w:hAnsi="华文中宋" w:eastAsia="仿宋_GB2312"/>
              </w:rPr>
            </w:pPr>
            <w:r>
              <w:rPr>
                <w:rFonts w:hint="eastAsia" w:ascii="仿宋_GB2312" w:hAnsi="华文中宋" w:eastAsia="仿宋_GB2312"/>
              </w:rPr>
              <w:t>办公室、</w:t>
            </w:r>
          </w:p>
          <w:p>
            <w:pPr>
              <w:spacing w:line="320" w:lineRule="exact"/>
              <w:rPr>
                <w:rFonts w:ascii="仿宋_GB2312" w:hAnsi="华文中宋" w:eastAsia="仿宋_GB2312"/>
                <w:szCs w:val="21"/>
              </w:rPr>
            </w:pPr>
            <w:r>
              <w:rPr>
                <w:rFonts w:hint="eastAsia" w:ascii="仿宋_GB2312" w:hAnsi="华文中宋" w:eastAsia="仿宋_GB2312"/>
              </w:rPr>
              <w:t>电商处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35</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优化政务新媒体在政策发布与解读方面的功能建设，</w:t>
            </w:r>
            <w:r>
              <w:rPr>
                <w:rFonts w:hint="eastAsia" w:ascii="仿宋_GB2312" w:hAnsi="华文中宋" w:eastAsia="仿宋_GB2312"/>
              </w:rPr>
              <w:t>加强门户网站</w:t>
            </w:r>
            <w:r>
              <w:rPr>
                <w:rFonts w:ascii="仿宋_GB2312" w:hAnsi="华文中宋" w:eastAsia="仿宋_GB2312"/>
              </w:rPr>
              <w:t>与政务新媒体协同联动。综合运用</w:t>
            </w:r>
            <w:r>
              <w:rPr>
                <w:rFonts w:hint="eastAsia" w:ascii="仿宋_GB2312" w:hAnsi="华文中宋" w:eastAsia="仿宋_GB2312"/>
              </w:rPr>
              <w:t>“</w:t>
            </w:r>
            <w:r>
              <w:rPr>
                <w:rFonts w:ascii="仿宋_GB2312" w:hAnsi="华文中宋" w:eastAsia="仿宋_GB2312"/>
              </w:rPr>
              <w:t>报、网、端、微、屏</w:t>
            </w:r>
            <w:r>
              <w:rPr>
                <w:rFonts w:hint="eastAsia" w:ascii="仿宋_GB2312" w:hAnsi="华文中宋" w:eastAsia="仿宋_GB2312"/>
              </w:rPr>
              <w:t>”</w:t>
            </w:r>
            <w:r>
              <w:rPr>
                <w:rFonts w:ascii="仿宋_GB2312" w:hAnsi="华文中宋" w:eastAsia="仿宋_GB2312"/>
              </w:rPr>
              <w:t>等传媒载体扩大政策传播。</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rPr>
              <w:t>11月底前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仿宋_GB2312" w:hAnsi="华文中宋" w:eastAsia="仿宋_GB2312"/>
                <w:szCs w:val="21"/>
              </w:rPr>
            </w:pPr>
            <w:r>
              <w:rPr>
                <w:rFonts w:hint="eastAsia" w:ascii="仿宋_GB2312" w:hAnsi="华文中宋" w:eastAsia="仿宋_GB2312"/>
              </w:rPr>
              <w:t>办公室、电商处牵头，各处办配合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36</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依法规范答复信息公开申请</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提升</w:t>
            </w:r>
            <w:r>
              <w:rPr>
                <w:rFonts w:ascii="仿宋_GB2312" w:hAnsi="华文中宋" w:eastAsia="仿宋_GB2312"/>
              </w:rPr>
              <w:t>办件规范</w:t>
            </w:r>
            <w:r>
              <w:rPr>
                <w:rFonts w:hint="eastAsia" w:ascii="仿宋_GB2312" w:hAnsi="华文中宋" w:eastAsia="仿宋_GB2312"/>
              </w:rPr>
              <w:t>性，加强合法性审核</w:t>
            </w:r>
            <w:r>
              <w:rPr>
                <w:rFonts w:ascii="仿宋_GB2312" w:hAnsi="华文中宋" w:eastAsia="仿宋_GB2312"/>
              </w:rPr>
              <w:t>，保障答复质效和办理时限。坚持服务理念，主动跨前与申请人做好沟通，依法准确回应信息获取需求，防范和化解依申请办理矛盾。</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仿宋_GB2312" w:hAnsi="华文中宋" w:eastAsia="仿宋_GB2312"/>
                <w:szCs w:val="21"/>
              </w:rPr>
            </w:pPr>
            <w:r>
              <w:rPr>
                <w:rFonts w:hint="eastAsia" w:ascii="仿宋_GB2312" w:hAnsi="华文中宋" w:eastAsia="仿宋_GB2312"/>
                <w:szCs w:val="21"/>
              </w:rPr>
              <w:t>办公室、公贸处会相关处办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37</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强化诉讼案件信息报备管理，</w:t>
            </w:r>
            <w:r>
              <w:rPr>
                <w:rFonts w:hint="eastAsia" w:ascii="仿宋_GB2312" w:hAnsi="华文中宋" w:eastAsia="仿宋_GB2312"/>
              </w:rPr>
              <w:t>适时总结通报</w:t>
            </w:r>
            <w:r>
              <w:rPr>
                <w:rFonts w:ascii="仿宋_GB2312" w:hAnsi="华文中宋" w:eastAsia="仿宋_GB2312"/>
              </w:rPr>
              <w:t>复议诉讼情况，切实发挥复议诉讼案例的提示警示作用。</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rPr>
              <w:t>全年</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仿宋_GB2312" w:hAnsi="华文中宋" w:eastAsia="仿宋_GB2312"/>
                <w:szCs w:val="21"/>
              </w:rPr>
            </w:pPr>
            <w:r>
              <w:rPr>
                <w:rFonts w:hint="eastAsia" w:ascii="仿宋_GB2312" w:hAnsi="华文中宋" w:eastAsia="仿宋_GB2312"/>
                <w:szCs w:val="21"/>
              </w:rPr>
              <w:t>公贸处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38</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推动全市依申请信息公开平台与政务一体化办公平台的协同对接，探索实现我委依申请信息公开线上办理、实时跟踪提醒等功能。</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rPr>
              <w:t>10月底前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仿宋_GB2312" w:hAnsi="华文中宋" w:eastAsia="仿宋_GB2312"/>
                <w:szCs w:val="21"/>
              </w:rPr>
            </w:pPr>
            <w:r>
              <w:rPr>
                <w:rFonts w:hint="eastAsia" w:ascii="仿宋_GB2312" w:hAnsi="华文中宋" w:eastAsia="仿宋_GB2312"/>
                <w:szCs w:val="21"/>
              </w:rPr>
              <w:t>办公室、</w:t>
            </w:r>
          </w:p>
          <w:p>
            <w:pPr>
              <w:spacing w:line="320" w:lineRule="exact"/>
              <w:rPr>
                <w:rFonts w:ascii="仿宋_GB2312" w:hAnsi="华文中宋" w:eastAsia="仿宋_GB2312"/>
                <w:szCs w:val="21"/>
              </w:rPr>
            </w:pPr>
            <w:r>
              <w:rPr>
                <w:rFonts w:hint="eastAsia" w:ascii="仿宋_GB2312" w:hAnsi="华文中宋" w:eastAsia="仿宋_GB2312"/>
                <w:szCs w:val="21"/>
              </w:rPr>
              <w:t>电商处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39</w:t>
            </w:r>
          </w:p>
        </w:tc>
        <w:tc>
          <w:tcPr>
            <w:tcW w:w="1095" w:type="dxa"/>
            <w:vMerge w:val="restart"/>
            <w:tcBorders>
              <w:top w:val="single" w:color="auto" w:sz="4" w:space="0"/>
              <w:left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加强业务能力建设</w:t>
            </w: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ascii="仿宋_GB2312" w:hAnsi="华文中宋" w:eastAsia="仿宋_GB2312"/>
              </w:rPr>
              <w:t>加强政务公开队伍建设</w:t>
            </w:r>
            <w:r>
              <w:rPr>
                <w:rFonts w:hint="eastAsia" w:ascii="仿宋_GB2312" w:hAnsi="华文中宋" w:eastAsia="仿宋_GB2312"/>
              </w:rPr>
              <w:t>，</w:t>
            </w:r>
            <w:r>
              <w:rPr>
                <w:rFonts w:ascii="仿宋_GB2312" w:hAnsi="华文中宋" w:eastAsia="仿宋_GB2312"/>
              </w:rPr>
              <w:t>抓好新进公务员政务公开通识培训，将《中华人民共和国政府信息公开条例》和《上海市政府信息公开规定》</w:t>
            </w:r>
            <w:r>
              <w:rPr>
                <w:rFonts w:hint="eastAsia" w:ascii="仿宋_GB2312" w:hAnsi="华文中宋" w:eastAsia="仿宋_GB2312"/>
              </w:rPr>
              <w:t>纳入</w:t>
            </w:r>
            <w:r>
              <w:rPr>
                <w:rFonts w:ascii="仿宋_GB2312" w:hAnsi="华文中宋" w:eastAsia="仿宋_GB2312"/>
              </w:rPr>
              <w:t>干部培训内容。</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rPr>
              <w:t>11月底前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仿宋_GB2312" w:hAnsi="华文中宋" w:eastAsia="仿宋_GB2312"/>
                <w:szCs w:val="21"/>
              </w:rPr>
            </w:pPr>
            <w:r>
              <w:rPr>
                <w:rFonts w:hint="eastAsia" w:ascii="仿宋_GB2312" w:hAnsi="华文中宋" w:eastAsia="仿宋_GB2312"/>
                <w:szCs w:val="21"/>
              </w:rPr>
              <w:t>干部处、</w:t>
            </w:r>
          </w:p>
          <w:p>
            <w:pPr>
              <w:spacing w:line="320" w:lineRule="exact"/>
              <w:rPr>
                <w:rFonts w:ascii="仿宋_GB2312" w:hAnsi="华文中宋" w:eastAsia="仿宋_GB2312"/>
                <w:szCs w:val="21"/>
              </w:rPr>
            </w:pPr>
            <w:r>
              <w:rPr>
                <w:rFonts w:hint="eastAsia" w:ascii="仿宋_GB2312" w:hAnsi="华文中宋" w:eastAsia="仿宋_GB2312"/>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szCs w:val="21"/>
              </w:rPr>
              <w:t>40</w:t>
            </w:r>
          </w:p>
        </w:tc>
        <w:tc>
          <w:tcPr>
            <w:tcW w:w="1095" w:type="dxa"/>
            <w:vMerge w:val="continue"/>
            <w:tcBorders>
              <w:left w:val="single" w:color="auto" w:sz="4" w:space="0"/>
              <w:right w:val="single" w:color="auto" w:sz="4" w:space="0"/>
            </w:tcBorders>
            <w:noWrap/>
            <w:vAlign w:val="center"/>
          </w:tcPr>
          <w:p>
            <w:pPr>
              <w:rPr>
                <w:rFonts w:ascii="仿宋_GB2312" w:hAnsi="华文中宋" w:eastAsia="仿宋_GB2312"/>
              </w:rPr>
            </w:pPr>
          </w:p>
        </w:tc>
        <w:tc>
          <w:tcPr>
            <w:tcW w:w="4725" w:type="dxa"/>
            <w:tcBorders>
              <w:top w:val="single" w:color="auto" w:sz="4" w:space="0"/>
              <w:left w:val="single" w:color="auto" w:sz="4" w:space="0"/>
              <w:bottom w:val="single" w:color="auto" w:sz="4" w:space="0"/>
              <w:right w:val="single" w:color="auto" w:sz="4" w:space="0"/>
            </w:tcBorders>
            <w:noWrap/>
            <w:vAlign w:val="center"/>
          </w:tcPr>
          <w:p>
            <w:pPr>
              <w:rPr>
                <w:rFonts w:ascii="仿宋_GB2312" w:hAnsi="华文中宋" w:eastAsia="仿宋_GB2312"/>
              </w:rPr>
            </w:pPr>
            <w:r>
              <w:rPr>
                <w:rFonts w:hint="eastAsia" w:ascii="仿宋_GB2312" w:hAnsi="华文中宋" w:eastAsia="仿宋_GB2312"/>
              </w:rPr>
              <w:t>适时组织全市商务领域政务公开工作</w:t>
            </w:r>
            <w:r>
              <w:rPr>
                <w:rFonts w:ascii="仿宋_GB2312" w:hAnsi="华文中宋" w:eastAsia="仿宋_GB2312"/>
              </w:rPr>
              <w:t>培训，围绕依申请办理、政策解读等专项工作</w:t>
            </w:r>
            <w:r>
              <w:rPr>
                <w:rFonts w:hint="eastAsia" w:ascii="仿宋_GB2312" w:hAnsi="华文中宋" w:eastAsia="仿宋_GB2312"/>
              </w:rPr>
              <w:t>持续</w:t>
            </w:r>
            <w:r>
              <w:rPr>
                <w:rFonts w:ascii="仿宋_GB2312" w:hAnsi="华文中宋" w:eastAsia="仿宋_GB2312"/>
              </w:rPr>
              <w:t>提升政务公开队伍业务水平</w:t>
            </w:r>
            <w:r>
              <w:rPr>
                <w:rFonts w:hint="eastAsia" w:ascii="仿宋_GB2312" w:hAnsi="华文中宋" w:eastAsia="仿宋_GB2312"/>
              </w:rPr>
              <w:t>。</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华文中宋" w:eastAsia="仿宋_GB2312"/>
                <w:szCs w:val="21"/>
              </w:rPr>
            </w:pPr>
            <w:r>
              <w:rPr>
                <w:rFonts w:hint="eastAsia" w:ascii="仿宋_GB2312" w:hAnsi="华文中宋" w:eastAsia="仿宋_GB2312"/>
              </w:rPr>
              <w:t>9月底前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仿宋_GB2312" w:hAnsi="华文中宋" w:eastAsia="仿宋_GB2312"/>
                <w:szCs w:val="21"/>
              </w:rPr>
            </w:pPr>
            <w:r>
              <w:rPr>
                <w:rFonts w:hint="eastAsia" w:ascii="仿宋_GB2312" w:hAnsi="等线" w:eastAsia="仿宋_GB2312" w:cstheme="minorBidi"/>
                <w:szCs w:val="21"/>
              </w:rPr>
              <w:t>办公室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jM3NDcwNjZlYWM0MWYxZGRiZDAzMjg1NjNlZDIifQ=="/>
  </w:docVars>
  <w:rsids>
    <w:rsidRoot w:val="33131BCC"/>
    <w:rsid w:val="3313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2024-07-03T09:11:00Z</dcterms:created>
  <dc:creator>Anne</dc:creator>
  <cp:lastModifiedBy>Anne</cp:lastModifiedBy>
  <dcterms:modified xsi:type="dcterms:W3CDTF">2024-07-03T09:11:14Z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5C381104C3F842179F844BE1DA53F426_11</vt:lpwstr>
  </property>
</Properties>
</file>