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kern w:val="2"/>
          <w:sz w:val="32"/>
          <w:szCs w:val="32"/>
          <w:highlight w:val="none"/>
          <w:u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highlight w:val="none"/>
          <w:u w:val="none"/>
          <w:lang w:eastAsia="zh-CN"/>
        </w:rPr>
        <w:t>附件</w:t>
      </w:r>
    </w:p>
    <w:p>
      <w:pPr>
        <w:pStyle w:val="8"/>
        <w:shd w:val="clear" w:color="auto" w:fill="FFFFFF"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highlight w:val="none"/>
          <w:u w:val="none"/>
          <w:lang w:eastAsia="zh-CN"/>
        </w:rPr>
      </w:pPr>
    </w:p>
    <w:p>
      <w:pPr>
        <w:pStyle w:val="8"/>
        <w:shd w:val="clear" w:color="auto" w:fill="FFFFFF"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highlight w:val="none"/>
          <w:u w:val="none"/>
          <w:lang w:eastAsia="zh-CN"/>
        </w:rPr>
        <w:t>现代商贸流通体系试点城市实施方案编制提纲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 xml:space="preserve">    一、基本情况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u w:val="none"/>
          <w:lang w:val="en-US" w:eastAsia="zh-CN"/>
        </w:rPr>
        <w:t>（一）申报城市基本概况。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本市在国家重大发展战略（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国家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中心城市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、供应链创新与应用示范城市、国际消费中心城市、自由贸易试验区、现代流通战略支点城市、国家骨干冷链物流基地、国家级产业集群等）中的定位；在全国以及跨区域农产品、生活必需品、工业制造品、消费品等流通大格局中的节点地位；本市重点产业结构和布局、经济发展状况以及人口、行政区划、居民消费等基本情况。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u w:val="none"/>
          <w:lang w:val="en-US" w:eastAsia="zh-CN"/>
        </w:rPr>
        <w:t>（二）商贸流通发展情况。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本市现代商贸流通体系建设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情况，包括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批发零售业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农产品流通、农村市场、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骨干流通企业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等，涉及网络布局、设施建设、行业规模、新业态新模式等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基本情况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。本市现代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" w:eastAsia="zh-CN"/>
        </w:rPr>
        <w:t>商贸流通体系建设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开展情况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以及规划、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财税、金融、土地等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配套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政策，组织领导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其他工作保障机制。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u w:val="none"/>
          <w:lang w:val="en-US" w:eastAsia="zh-CN"/>
        </w:rPr>
        <w:t>（三）生活必需品流通保供情况。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流通保供底数，包括米、面、油、肉、蛋、菜、奶（含婴幼儿配方奶粉）、方便食品（如方便面、火腿肠、瓶装水）等生活必需品日常供应总量、人均供应量、重要流通保供节点和网络、干线物流配送、政府储备和商业库存、骨干流通保供队伍及应急供应情况等，生活必需品自产、外埠调运及来源情况等。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  <w:highlight w:val="none"/>
          <w:u w:val="none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2"/>
          <w:sz w:val="32"/>
          <w:szCs w:val="32"/>
          <w:highlight w:val="none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  <w:highlight w:val="none"/>
          <w:u w:val="none"/>
        </w:rPr>
        <w:t>流通保供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  <w:highlight w:val="none"/>
          <w:u w:val="none"/>
          <w:lang w:eastAsia="zh-CN"/>
        </w:rPr>
        <w:t>体系建设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  <w:highlight w:val="none"/>
          <w:u w:val="none"/>
        </w:rPr>
        <w:t>组织实施情况，包括有关政策文件、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  <w:highlight w:val="none"/>
          <w:u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  <w:highlight w:val="none"/>
          <w:u w:val="none"/>
        </w:rPr>
        <w:t>机制、责任分工、政府投入、配套政策、社会参与情况等。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  <w:highlight w:val="none"/>
          <w:u w:val="none"/>
          <w:lang w:eastAsia="zh-CN"/>
        </w:rPr>
        <w:t>同时，介绍本省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生活必需品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保供有关情况，以及本市在辐射带动全省和周边地区保供中的地位和作用。</w:t>
      </w:r>
    </w:p>
    <w:p>
      <w:pPr>
        <w:pStyle w:val="2"/>
        <w:spacing w:line="600" w:lineRule="exact"/>
        <w:rPr>
          <w:rFonts w:hint="default" w:ascii="Times New Roman" w:hAnsi="Times New Roman" w:eastAsia="仿宋_GB2312" w:cs="Times New Roman"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  <w:u w:val="none"/>
          <w:lang w:eastAsia="zh-CN"/>
        </w:rPr>
        <w:t>（四）再生资源回收情况。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/>
          <w:lang w:eastAsia="zh-CN"/>
        </w:rPr>
        <w:t>本市再生资源网络规划布局情况，包括废旧家电家具再生资源回收站点和转运集散中心布局、生活垃圾分类和再生资源回收“两网融合”、行政事业单位“公物仓”设置等。回收企业培育情况，包括流通企业促进废旧家电家具回收、家电售后服务领跑企业培育、有效赋能前端分散回收主体等。回收模式创新情况，包括开展“线上预约、线下回收”服务、“以车代库”定时定点流动回收等。同时，介绍本市再生资源回收地方性法规、重点联系企业制度、政策支持、联合执法、宣传动员等保障措施情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二、存在的卡点堵点和短板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u w:val="none"/>
          <w:lang w:val="en-US" w:eastAsia="zh-CN"/>
        </w:rPr>
        <w:t>（一）商贸流通方面。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梳理本市商贸流通体系建设中存在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卡点堵点，找准差距和短板，并对问题原因进行分析。问题包括城乡商贸流通网络布局、流通基础设施建设、批发零售业等发展情况、数字化标准化绿色化转型、现代供应链发展等客观问题，以及规划制定实施、机制建设、政策环境等工作不足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u w:val="none"/>
          <w:lang w:val="en-US" w:eastAsia="zh-CN"/>
        </w:rPr>
        <w:t>（二）流通保供方面。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/>
          <w:lang w:val="en-US" w:eastAsia="zh-CN"/>
        </w:rPr>
        <w:t>梳理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近年来，在应对疫情、洪涝、地震等各类突发事件时，本市生活必需品流通保供体系作用发挥存在的问题和挑战，分析查找关键环节的短板、弱项。本市生活必需品流通保供体系建设过程中，遇到哪些困难和阻碍。同时，梳理提出本省流通保供体系建设存在的主要卡点、堵点、问题和挑战。</w:t>
      </w:r>
    </w:p>
    <w:p>
      <w:pPr>
        <w:pStyle w:val="2"/>
        <w:spacing w:line="600" w:lineRule="exact"/>
        <w:rPr>
          <w:rFonts w:hint="default" w:ascii="Times New Roman" w:hAnsi="Times New Roman" w:eastAsia="仿宋_GB2312" w:cs="Times New Roman"/>
          <w:b w:val="0"/>
          <w:bCs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  <w:u w:val="none"/>
          <w:lang w:val="en-US" w:eastAsia="zh-CN"/>
        </w:rPr>
        <w:t>（三）再生资源回收方面。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/>
          <w:lang w:val="en-US" w:eastAsia="zh-CN"/>
        </w:rPr>
        <w:t>梳理本市再生资源回收体系建设过程中的难点和挑战，本市是否存在对</w:t>
      </w:r>
      <w:r>
        <w:rPr>
          <w:rFonts w:hint="default" w:ascii="Times New Roman" w:hAnsi="Times New Roman" w:eastAsia="仿宋_GB2312" w:cs="Times New Roman"/>
          <w:sz w:val="32"/>
          <w:highlight w:val="none"/>
          <w:u w:val="none"/>
        </w:rPr>
        <w:t>回收网点设施公益属性认识不足</w:t>
      </w:r>
      <w:r>
        <w:rPr>
          <w:rFonts w:hint="default" w:ascii="Times New Roman" w:hAnsi="Times New Roman" w:eastAsia="仿宋_GB2312" w:cs="Times New Roman"/>
          <w:sz w:val="32"/>
          <w:highlight w:val="none"/>
          <w:u w:val="none"/>
          <w:lang w:eastAsia="zh-CN"/>
        </w:rPr>
        <w:t>、未将</w:t>
      </w:r>
      <w:r>
        <w:rPr>
          <w:rFonts w:hint="default" w:ascii="Times New Roman" w:hAnsi="Times New Roman" w:eastAsia="仿宋_GB2312" w:cs="Times New Roman"/>
          <w:sz w:val="32"/>
          <w:highlight w:val="none"/>
          <w:u w:val="none"/>
        </w:rPr>
        <w:t>废旧家电等回收基础设施建设纳入城乡规划</w:t>
      </w:r>
      <w:r>
        <w:rPr>
          <w:rFonts w:hint="default" w:ascii="Times New Roman" w:hAnsi="Times New Roman" w:eastAsia="仿宋_GB2312" w:cs="Times New Roman"/>
          <w:sz w:val="32"/>
          <w:highlight w:val="none"/>
          <w:u w:val="none"/>
          <w:lang w:eastAsia="zh-CN"/>
        </w:rPr>
        <w:t>、限制回收车辆通行以及废旧家电私拆乱拆等问题。总结推进</w:t>
      </w:r>
      <w:r>
        <w:rPr>
          <w:rFonts w:hint="default" w:ascii="Times New Roman" w:hAnsi="Times New Roman" w:eastAsia="仿宋_GB2312" w:cs="Times New Roman"/>
          <w:sz w:val="32"/>
          <w:highlight w:val="none"/>
          <w:u w:val="none"/>
        </w:rPr>
        <w:t>废旧</w:t>
      </w:r>
      <w:r>
        <w:rPr>
          <w:rFonts w:hint="default" w:ascii="Times New Roman" w:hAnsi="Times New Roman" w:eastAsia="仿宋_GB2312" w:cs="Times New Roman"/>
          <w:sz w:val="32"/>
          <w:highlight w:val="none"/>
          <w:u w:val="none"/>
          <w:lang w:eastAsia="zh-CN"/>
        </w:rPr>
        <w:t>家电家具等再生资源基础设施建设过程中遇到的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/>
          <w:lang w:val="en-US" w:eastAsia="zh-CN"/>
        </w:rPr>
        <w:t>突出问题</w:t>
      </w:r>
      <w:r>
        <w:rPr>
          <w:rFonts w:hint="default" w:ascii="Times New Roman" w:hAnsi="Times New Roman" w:eastAsia="仿宋_GB2312" w:cs="Times New Roman"/>
          <w:sz w:val="32"/>
          <w:highlight w:val="none"/>
          <w:u w:val="none"/>
          <w:lang w:eastAsia="zh-CN"/>
        </w:rPr>
        <w:t>，如</w:t>
      </w:r>
      <w:r>
        <w:rPr>
          <w:rFonts w:hint="eastAsia" w:ascii="Times New Roman" w:hAnsi="Times New Roman" w:eastAsia="仿宋_GB2312" w:cs="Times New Roman"/>
          <w:sz w:val="32"/>
          <w:highlight w:val="none"/>
          <w:u w:val="none"/>
          <w:lang w:eastAsia="zh-CN"/>
        </w:rPr>
        <w:t>缺少</w:t>
      </w:r>
      <w:r>
        <w:rPr>
          <w:rFonts w:hint="default" w:ascii="Times New Roman" w:hAnsi="Times New Roman" w:eastAsia="仿宋_GB2312" w:cs="Times New Roman"/>
          <w:sz w:val="32"/>
          <w:highlight w:val="none"/>
          <w:u w:val="none"/>
          <w:lang w:eastAsia="zh-CN"/>
        </w:rPr>
        <w:t>回收经营主体、物流运输难、仓储费用高等</w:t>
      </w:r>
      <w:r>
        <w:rPr>
          <w:rFonts w:hint="default" w:ascii="Times New Roman" w:hAnsi="Times New Roman" w:eastAsia="仿宋_GB2312" w:cs="Times New Roman"/>
          <w:sz w:val="32"/>
          <w:highlight w:val="none"/>
          <w:u w:val="none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问题和分析应实事求是、全面准确，有事例和数字支撑，避免泛泛而谈。比如，农产品流通规划执行不到位，表现在多达＊家农产品批发市场，存在重复建设、同质化竞争等问题；冷链物流＊万立方米，＊%饱和，＊%出现闲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；流通保供设施平急转换能力不够，相关设备设施处理能力冗余率不足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%；生活必需品储备品种不全，库存仅能满足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人口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天消费量等。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三、总体思路和目标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u w:val="none"/>
          <w:lang w:val="en-US" w:eastAsia="zh-CN"/>
        </w:rPr>
        <w:t>（一）总体思路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。概括描述本市现代商贸流通体系试点建设“蓝图”，重点说明工作定位、发展方向、工作路径和抓手，如何衔接国家或区域重大发展战略、全国现代流通和物流体系；如何推动城市产业转型或产业承接、联通国内国际市场等；如何服务本地商品流通和民生消费；如何保障本地生活必需品供应，并辐射带动周边及相关地区；如何健全再生资源回收体系，促进家电家具等消费品以旧换新。工作思路应体现区位特征、功能定位、城市特点、产业特色等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u w:val="none"/>
          <w:lang w:val="en-US" w:eastAsia="zh-CN"/>
        </w:rPr>
        <w:t>（二）总体目标和分解目标。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结合总体思路，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填写附件《总目标及年度分解目标》，其中约束性指标须紧扣“推动城乡商贸流通融合发展、建设生活必需品流通保供体系、完善农村商贸流通体系、加快培育现代流通骨干企业、完善城乡再生资源回收体系”5项基本任务，由城市结合实际填写总目标和年度分解目标，并接受商务部、财政部绩效评价和验收抽查；自选指标由城市根据自身发展情况、拟开展的工作等确定，自行组织评价验收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u w:val="none"/>
          <w:lang w:val="en-US" w:eastAsia="zh-CN"/>
        </w:rPr>
        <w:t>（三）重点任务及相关举措。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根据上述工作定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位和总体思路，结合现状和问题，提出重点任务举措。其中，1-5项为试点工作基本任务。各地可结合本地实际，提出其他落实举措，丰富政策体系。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1.推动城乡商贸流通融合发展。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1）将农产品批发市场、菜市场等纳入城市发展规划，根据农产品流通规模、人口分布等因素，合理规划布局农产品批发市场数量，明确功能定位，避免重复建设和恶意竞争。试点城市培育1-2个骨干农产品批发市场，支持改造一批标准化菜市场，形成“骨干市场+区域市场+菜市场”错位衔接的农产品市场体系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（2）建立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农产品批发市场、菜市场等的公益性保障机制或措施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，协调解决用地难等问题，鼓励采取产权回购、购买服务、出资或土地使用权作价入股等方式，增强政府宏观调控能力，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规范市场设施环境、经营管理和食品卫生等要求。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（3）根据实际需求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建设改造区域冷链物流基地，合理规划建设规模、功能结构，统筹做好与现有冷链物流枢纽（园区）的错位衔接，积极对接大型农产品批发市场、流通企业，提高设施利用效率，增强项目持续运营能力。</w:t>
      </w: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（4）提高标准托盘、果蔬周转筐等物流载具使用率，推动与标准托盘相配套的设施设备更新改造，探索建立标准物流载具循环共用体系，鼓励带托运输。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2.建设生活必需品流通保供体系。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（1）改造升级农产品批发市场相关设施设备，完善检测、检验、安全、卫生、防疫等设备，增强储存、加工、分拣等配套服务功能。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（2）建设改造仓储配送中心、城外周转基地等，集成长期仓储、区域分拨、集中加工、分拣包装、城市配送等功能，扩大保障辐射范围，强化跨区域调配。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（3）强化消费终端网络网点建设，依托大型流通保供企业，织密应急投放网络，提升末端配送、应急投放能力。加强网络网点信息化建设，提高数字化管理水平。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（4）完善生活必需品储备调控体系，强化地方肉、菜、蛋等储备建设，健全小包装食品、方便食品等应急食品储备，完善储备品种，优化储备布局。鼓励保供企业适当增加生活必需品商业库存。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（5）改造升级监测预警和指挥调度平台，拓展生活必需品量价监测样本，应用智能采集、分析技术，加强市场行情、灾情等协同分析，提高预测预警、应急响应和指挥调度能力。</w:t>
      </w:r>
    </w:p>
    <w:p>
      <w:pPr>
        <w:pStyle w:val="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（6）完善商务领域“平急两用”公共基础设施，每个城市布局至少1个生活必需品交易备用场地、2个区域应急保供中心仓（含城郊大仓基地）、2个生活物资临时转运接驳站，加强设施协同，提升平急转换能力。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3.完善农村商贸流通体系。</w:t>
      </w:r>
    </w:p>
    <w:p>
      <w:pPr>
        <w:pStyle w:val="2"/>
        <w:keepNext w:val="0"/>
        <w:keepLines w:val="0"/>
        <w:widowControl/>
        <w:suppressLineNumbers w:val="0"/>
        <w:spacing w:line="600" w:lineRule="exact"/>
        <w:ind w:firstLine="64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（1）加强规划引导。在国土空间规划中统筹考虑县域商业设施建设用地，鼓励有条件的县依据国土空间规划编制商业网点布局专项规划，完善配套措施。</w:t>
      </w:r>
    </w:p>
    <w:p>
      <w:pPr>
        <w:pStyle w:val="2"/>
        <w:keepNext w:val="0"/>
        <w:keepLines w:val="0"/>
        <w:widowControl/>
        <w:suppressLineNumbers w:val="0"/>
        <w:spacing w:line="600" w:lineRule="exact"/>
        <w:ind w:firstLine="64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（2）完善县乡村商业网络。建设改造县级综合商贸服务中心、乡镇商贸中心（集贸市场、乡镇大集）、农村便民商店，对县（区）乡（镇）村基本实现全覆盖。</w:t>
      </w:r>
    </w:p>
    <w:p>
      <w:pPr>
        <w:pStyle w:val="2"/>
        <w:keepNext w:val="0"/>
        <w:keepLines w:val="0"/>
        <w:widowControl/>
        <w:spacing w:line="600" w:lineRule="exact"/>
        <w:ind w:firstLine="64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（3）健全县乡村三级物流配送体系。基本实现县（区）有快递和商贸物流配送中心，乡镇有快递物流站点，村村通快递，县域共同配送比例达到30%以上。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（4）推动县域流通企业转型升级。每个县级行政区培育不少于1家限额以上县域商贸流通企业。鼓励在县域和中心乡镇发展即时零售、连锁经营等新模式。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4.加快培育现代流通骨干企业。</w:t>
      </w: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（1）建立骨干企业阶梯培育机制。针对企业不同发展阶段、不同类型需求，建立梯度培育体系，在批发零售、供应链、电子商务等领域培育一批现代流通骨干企业。将骨干企业培育与试点工作有机结合，鼓励骨干企业发挥更大作用，统筹推进城乡商贸流通体系建设与运营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2）加快传统批发零售业转型升级。鼓励传统批发企业、商品市场从单一商品交易商向综合服务商转变，发展品牌联盟和联合采购平台，向生产和零售环节延伸服务。引导零售企业加快数字化转型，整合线上线下营销网络，打造自有品牌，发展连锁经营，扩大优质商品和服务供给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3）大力发展现代供应链。立足本市资源禀赋和特色优势产业，依托骨干流通企业打造不少于1个本地供应链服务平台，整合上下游资源，提供集中采购、市场开拓、品牌培育和数字化转型解决方案，增强供应链协同效应，为中小流通企业发展赋能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4）加强骨干企业政策扶持。制定完善骨干流通企业一揽子扶持政策，鼓励骨干企业通过强强联合、兼并重组，实现做大做强。引导供应链领军企业加强与本地重点产业深度融合，提供集成化服务，推动延链、补链、强链建设，提高产业集群竞争力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 xml:space="preserve">5.建设城乡再生资源回收体系。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推动家电以旧换新。以便利城乡居民换新为重点，统筹推进健全废旧家电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家具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等再生资源回收体系和家电以旧换新工作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打通废旧家电回收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静脉循环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堵点，畅通家电更新消费循环。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）加强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回收网络规划布局。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参照《再生资源回收站点建设管理规范》，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合理设置废旧家电家具等再生资源回收站点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、街道（乡镇）中转站和区域性分拣中心，每个区（县、旗）原则上建设改造不少于1个废旧家电等再生资源分拣中心。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将废旧家电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家具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等再生资源回收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体系纳入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一刻钟便民生活圈建设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推进生活垃圾分类和再生资源回收“两网融合”。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培育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再生资源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回收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龙头企业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。培育或引进至少1家具有一定废旧家电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家具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等再生资源回收处理能力的大型企业，废旧家电回收企业年回收量30万台以上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（中西部地区可适当降低要求）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。回收企业在当地回收的废弃电器电子产品，交由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正规拆解渠道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处理。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探索创新回收模式。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支持回收企业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推动回收服务进街道、进社区，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通过“线上预约、线下回收”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等方式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开展废旧家电家具等再生资源回收，在不具备条件设置固定回收网点的区域推广“以车代库”等回收模式。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）完善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保障措施。将废旧家电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家具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等再生资源回收设施纳入地方公共基础设施用地范围，保障合理用地需求。保障废旧家电家具等回收车辆合理路权，对车辆配备、通行区域、上路时段等予以支持和规范。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四、项目实施计划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从地方实际出发，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统筹中央财政、地方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投入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和社会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，鼓励将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商贸流通领域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地方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投入及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社会化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重大项目一并纳入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试点工作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，放大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效应。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各地可结合实际，选择整批或分批推进项目建设，有关项目应于试点建设期内完成。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拟支持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项目应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明确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项目名称、承建主体、实际投资和财政补助额、建设内容、实施期限、预期目标等具体信息。未确定项目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做好评估，分批纳入储备库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。项目资金不得用于商业地产、流量宣传、一次性奖励等支出。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五、保障措施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u w:val="none"/>
          <w:lang w:val="en-US" w:eastAsia="zh-CN"/>
        </w:rPr>
        <w:t>（一）组织领导机制。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发挥省级部门统筹作用和试点城市党委政府组织领导优势，建立负责同志牵头、多部门统筹协调机制情况，包括但不限于牵头人、组成单位、责任分工、日常调度等情况。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u w:val="none"/>
          <w:lang w:val="en-US" w:eastAsia="zh-CN"/>
        </w:rPr>
        <w:t>（二）资金管理制度。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省级部门结合中央财政资金管理规定和本通知要求，建立绩效评价指标体系和试点验收办法等。加强资金动态监管，对资金使用中发现的违规、长期闲置等问题，及时纠正或按规定收回。指导试点城市细化试点资金管理办法，结合本地实际，合理确定支持标准，明确支持重点、建设内容、后续运营管理要求等，加强资金统筹集约使用，提高项目的可持续性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u w:val="none"/>
          <w:lang w:val="en-US" w:eastAsia="zh-CN"/>
        </w:rPr>
        <w:t>（三）项目监管机制。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省级部门指导试点城市完善项目立项、资金拨付、项目验收等管理制度，明确项目选择依据，履行集体决策、公开公示等程序。建立省市区（县）日常监督机制，明确日常监管责任主体、频次、范围等具体要求。引入审计、监理咨询等第三方机构，规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重大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决策过程，加强资金和项目审核。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u w:val="none"/>
          <w:lang w:val="en-US" w:eastAsia="zh-CN"/>
        </w:rPr>
        <w:t>（四）其他保障措施。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省级部门指导试点城市结合前期工作，提出现代商贸流通相关规划或政策保障工作考虑，包括城乡商业网点、生活必需品流通保供、再生资源回收、公益性农产品批发市场、冷链物流、现代供应链等相关规划或政策保障措施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附：总目标及年度分解目标表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楷体">
    <w:altName w:val="方正楷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B88CF"/>
    <w:rsid w:val="3EAB0813"/>
    <w:rsid w:val="53F94104"/>
    <w:rsid w:val="58DD9D65"/>
    <w:rsid w:val="671E17DD"/>
    <w:rsid w:val="6F773B67"/>
    <w:rsid w:val="76FB672B"/>
    <w:rsid w:val="7AFD697C"/>
    <w:rsid w:val="7B1F7887"/>
    <w:rsid w:val="7CFF65A4"/>
    <w:rsid w:val="7DCF961A"/>
    <w:rsid w:val="7F7C232D"/>
    <w:rsid w:val="7FEF2732"/>
    <w:rsid w:val="9CAF3BB8"/>
    <w:rsid w:val="9FFE6E76"/>
    <w:rsid w:val="BEA5A85A"/>
    <w:rsid w:val="BEEA1736"/>
    <w:rsid w:val="BFFF2849"/>
    <w:rsid w:val="CCBA91BF"/>
    <w:rsid w:val="DBEE0A33"/>
    <w:rsid w:val="DFB7EC67"/>
    <w:rsid w:val="EEFDC15E"/>
    <w:rsid w:val="F7FBE934"/>
    <w:rsid w:val="FB7D5B40"/>
    <w:rsid w:val="FBF660B9"/>
    <w:rsid w:val="FCFF0EBA"/>
    <w:rsid w:val="FEFB2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600" w:lineRule="exact"/>
      <w:outlineLvl w:val="1"/>
    </w:pPr>
    <w:rPr>
      <w:rFonts w:ascii="Calibri Light" w:hAnsi="Calibri Light" w:eastAsia="楷体" w:cs="Times New Roman"/>
      <w:bCs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Body Text First Indent1"/>
    <w:basedOn w:val="3"/>
    <w:qFormat/>
    <w:uiPriority w:val="0"/>
    <w:pPr>
      <w:spacing w:line="360" w:lineRule="auto"/>
      <w:ind w:firstLine="420" w:firstLineChars="100"/>
    </w:pPr>
    <w:rPr>
      <w:szCs w:val="24"/>
    </w:rPr>
  </w:style>
  <w:style w:type="paragraph" w:styleId="5">
    <w:name w:val="Plain Text"/>
    <w:basedOn w:val="1"/>
    <w:qFormat/>
    <w:uiPriority w:val="0"/>
    <w:rPr>
      <w:rFonts w:ascii="方正书宋_GBK" w:hAnsi="DejaVu Sans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5.66666666666667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Admin</cp:lastModifiedBy>
  <cp:lastPrinted>2024-04-25T06:35:55Z</cp:lastPrinted>
  <dcterms:modified xsi:type="dcterms:W3CDTF">2024-04-28T14:58:30Z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8222C91FE0F2313496F32D66EC7642E6</vt:lpwstr>
  </property>
</Properties>
</file>