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05FC5">
      <w:pPr>
        <w:spacing w:line="560" w:lineRule="exact"/>
        <w:rPr>
          <w:rFonts w:hint="eastAsia" w:ascii="黑体" w:eastAsia="黑体"/>
          <w:sz w:val="32"/>
          <w:szCs w:val="24"/>
        </w:rPr>
      </w:pPr>
      <w:r>
        <w:rPr>
          <w:rFonts w:hint="eastAsia" w:ascii="黑体" w:eastAsia="黑体"/>
          <w:sz w:val="32"/>
          <w:szCs w:val="24"/>
        </w:rPr>
        <w:t>附件2</w:t>
      </w:r>
    </w:p>
    <w:p w14:paraId="10193068">
      <w:pPr>
        <w:spacing w:line="560" w:lineRule="exact"/>
        <w:rPr>
          <w:rFonts w:eastAsia="仿宋_GB2312"/>
          <w:sz w:val="32"/>
          <w:szCs w:val="24"/>
        </w:rPr>
      </w:pPr>
    </w:p>
    <w:p w14:paraId="5E7398B9">
      <w:pPr>
        <w:spacing w:line="560" w:lineRule="exact"/>
        <w:jc w:val="center"/>
        <w:rPr>
          <w:rFonts w:eastAsia="方正小标宋简体"/>
          <w:sz w:val="36"/>
          <w:szCs w:val="36"/>
        </w:rPr>
      </w:pPr>
      <w:r>
        <w:rPr>
          <w:rFonts w:hint="eastAsia" w:eastAsia="方正小标宋简体"/>
          <w:sz w:val="36"/>
          <w:szCs w:val="36"/>
        </w:rPr>
        <w:t>上海市美容美发行业常态化执法检查方案</w:t>
      </w:r>
    </w:p>
    <w:p w14:paraId="36B34E73">
      <w:pPr>
        <w:spacing w:line="560" w:lineRule="exact"/>
        <w:jc w:val="center"/>
        <w:rPr>
          <w:rFonts w:eastAsia="方正小标宋简体"/>
          <w:sz w:val="44"/>
          <w:szCs w:val="24"/>
        </w:rPr>
      </w:pPr>
    </w:p>
    <w:p w14:paraId="7CEDB56E">
      <w:pPr>
        <w:overflowPunct w:val="0"/>
        <w:autoSpaceDN w:val="0"/>
        <w:spacing w:line="560" w:lineRule="exact"/>
        <w:ind w:firstLine="600" w:firstLineChars="200"/>
        <w:rPr>
          <w:rFonts w:hint="eastAsia" w:ascii="仿宋_GB2312" w:eastAsia="仿宋_GB2312"/>
          <w:sz w:val="30"/>
          <w:szCs w:val="30"/>
        </w:rPr>
      </w:pPr>
      <w:r>
        <w:rPr>
          <w:rFonts w:hint="eastAsia" w:ascii="仿宋_GB2312" w:eastAsia="仿宋_GB2312"/>
          <w:sz w:val="30"/>
          <w:szCs w:val="30"/>
        </w:rPr>
        <w:t>为贯彻落实《国务院办公厅关于深入推进跨部门综合监管的指导意见》（国办发〔2023〕1号）《美容美发业管理暂行办法》（商务部令2004年19号）《上海市人民政府办公厅关于在本市重点行业领域深入推进跨部门综合监管改革的通知》（沪府办〔2023〕35号）等文件要求，市商务委会同市卫生健康委（市疾病预防控制局）、市消防救援局、市公安局、市市场监督管理局等部门在全市范围内全面推进美容美发行业常态化执法检查，现制定检查方案如下：</w:t>
      </w:r>
    </w:p>
    <w:p w14:paraId="5F10B4B5">
      <w:pPr>
        <w:overflowPunct w:val="0"/>
        <w:autoSpaceDN w:val="0"/>
        <w:spacing w:line="560" w:lineRule="exact"/>
        <w:ind w:firstLine="600" w:firstLineChars="200"/>
        <w:rPr>
          <w:rFonts w:eastAsia="黑体"/>
          <w:sz w:val="30"/>
          <w:szCs w:val="30"/>
        </w:rPr>
      </w:pPr>
      <w:r>
        <w:rPr>
          <w:rFonts w:hint="eastAsia" w:eastAsia="黑体"/>
          <w:sz w:val="30"/>
          <w:szCs w:val="30"/>
        </w:rPr>
        <w:t>一、总体要求</w:t>
      </w:r>
    </w:p>
    <w:p w14:paraId="68C4545A">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（一）指导思想</w:t>
      </w:r>
    </w:p>
    <w:p w14:paraId="2FCB1F8E">
      <w:pPr>
        <w:overflowPunct w:val="0"/>
        <w:autoSpaceDN w:val="0"/>
        <w:spacing w:line="560" w:lineRule="exact"/>
        <w:ind w:firstLine="600" w:firstLineChars="200"/>
        <w:rPr>
          <w:rFonts w:eastAsia="仿宋_GB2312"/>
          <w:sz w:val="30"/>
          <w:szCs w:val="30"/>
        </w:rPr>
      </w:pPr>
      <w:r>
        <w:rPr>
          <w:rFonts w:hint="eastAsia" w:eastAsia="仿宋_GB2312"/>
          <w:sz w:val="30"/>
          <w:szCs w:val="30"/>
        </w:rPr>
        <w:t>坚持以习近平新时代中国特色社会主义思想为指导，践行“执法为民”理念，准确把握人民城市根本属性，结合美容美发行业监管重点工作与任务，落实“进一次门，查多项事”的综合监管要求，搭建覆盖横向、贯穿纵向的联动协同机制，构建资源有效共享、业务有机协同的综合监管体系。</w:t>
      </w:r>
    </w:p>
    <w:p w14:paraId="0EE6C6E2">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（二）工作目标</w:t>
      </w:r>
    </w:p>
    <w:p w14:paraId="6A6A0C7B">
      <w:pPr>
        <w:overflowPunct w:val="0"/>
        <w:autoSpaceDN w:val="0"/>
        <w:spacing w:line="560" w:lineRule="exact"/>
        <w:ind w:firstLine="600" w:firstLineChars="200"/>
        <w:rPr>
          <w:rFonts w:eastAsia="仿宋_GB2312"/>
          <w:sz w:val="30"/>
          <w:szCs w:val="30"/>
        </w:rPr>
      </w:pPr>
      <w:r>
        <w:rPr>
          <w:rFonts w:hint="eastAsia" w:eastAsia="仿宋_GB2312"/>
          <w:sz w:val="30"/>
          <w:szCs w:val="30"/>
        </w:rPr>
        <w:t>以卫生安全、消防安全等为重点，统筹整合部门监管资源，对全市范围内依法设立的美容美发经营场所开展全面检查抽查，推动市场活力更加充分释放。根据跨部门综合监管改革工作要求，建立“监管对象全覆盖、监管内容全要素、监管流程全闭环、监管执法全协同、监管数据全共享、监管结果全公开”的综合监管模式。优化协同监管机制和方式，形成跨部门监管合力，推动实现违法线索互联、监管标准互通、处理结果互认，全面提升行业监管效能。</w:t>
      </w:r>
    </w:p>
    <w:p w14:paraId="3448B714">
      <w:pPr>
        <w:overflowPunct w:val="0"/>
        <w:autoSpaceDN w:val="0"/>
        <w:spacing w:line="560" w:lineRule="exact"/>
        <w:ind w:firstLine="600" w:firstLineChars="200"/>
        <w:rPr>
          <w:rFonts w:eastAsia="黑体"/>
          <w:sz w:val="30"/>
          <w:szCs w:val="30"/>
        </w:rPr>
      </w:pPr>
      <w:r>
        <w:rPr>
          <w:rFonts w:hint="eastAsia" w:eastAsia="黑体"/>
          <w:sz w:val="30"/>
          <w:szCs w:val="30"/>
        </w:rPr>
        <w:t>二、工作范围</w:t>
      </w:r>
    </w:p>
    <w:p w14:paraId="10264C27">
      <w:pPr>
        <w:overflowPunct w:val="0"/>
        <w:autoSpaceDN w:val="0"/>
        <w:spacing w:line="560" w:lineRule="exact"/>
        <w:ind w:firstLine="640"/>
        <w:rPr>
          <w:rFonts w:eastAsia="仿宋_GB2312"/>
          <w:sz w:val="30"/>
          <w:szCs w:val="30"/>
        </w:rPr>
      </w:pPr>
      <w:r>
        <w:rPr>
          <w:rFonts w:hint="eastAsia" w:eastAsia="仿宋_GB2312"/>
          <w:sz w:val="30"/>
          <w:szCs w:val="30"/>
        </w:rPr>
        <w:t>按照“行业监管、属地负责、分级分类、分工配合”的原则，结合行业管理实际情况，确定一定比例的美容美发企业开展综合监管执法检查。纳入综合监管执法检查范围的对象包括两类。</w:t>
      </w:r>
    </w:p>
    <w:p w14:paraId="66E79563">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（一）一般检查对象</w:t>
      </w:r>
    </w:p>
    <w:p w14:paraId="6D34F201">
      <w:pPr>
        <w:overflowPunct w:val="0"/>
        <w:autoSpaceDN w:val="0"/>
        <w:spacing w:line="560" w:lineRule="exact"/>
        <w:ind w:firstLine="640"/>
        <w:rPr>
          <w:rFonts w:eastAsia="仿宋_GB2312"/>
          <w:sz w:val="30"/>
          <w:szCs w:val="30"/>
        </w:rPr>
      </w:pPr>
      <w:r>
        <w:rPr>
          <w:rFonts w:hint="eastAsia" w:eastAsia="仿宋_GB2312"/>
          <w:sz w:val="30"/>
          <w:szCs w:val="30"/>
        </w:rPr>
        <w:t>依法设立的美容美发经营场所，包括各类美容店、美发店、美容美发店等。</w:t>
      </w:r>
    </w:p>
    <w:p w14:paraId="2DDB0D0A">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（二）重点检查对象</w:t>
      </w:r>
    </w:p>
    <w:p w14:paraId="5A0B261C">
      <w:pPr>
        <w:overflowPunct w:val="0"/>
        <w:autoSpaceDN w:val="0"/>
        <w:spacing w:line="560" w:lineRule="exact"/>
        <w:ind w:firstLine="600" w:firstLineChars="200"/>
        <w:rPr>
          <w:rFonts w:eastAsia="仿宋_GB2312"/>
          <w:sz w:val="30"/>
          <w:szCs w:val="30"/>
        </w:rPr>
      </w:pPr>
      <w:r>
        <w:rPr>
          <w:rFonts w:hint="eastAsia" w:eastAsia="仿宋_GB2312"/>
          <w:sz w:val="30"/>
          <w:szCs w:val="30"/>
        </w:rPr>
        <w:t>结合日常监测发现的风险隐患较大、曾发生过违法违规事项、群众投诉反映突出的美容美发经营场所。</w:t>
      </w:r>
    </w:p>
    <w:p w14:paraId="15AE4151">
      <w:pPr>
        <w:overflowPunct w:val="0"/>
        <w:autoSpaceDN w:val="0"/>
        <w:spacing w:line="560" w:lineRule="exact"/>
        <w:ind w:firstLine="600" w:firstLineChars="200"/>
        <w:rPr>
          <w:rFonts w:eastAsia="黑体"/>
          <w:sz w:val="30"/>
          <w:szCs w:val="30"/>
        </w:rPr>
      </w:pPr>
      <w:r>
        <w:rPr>
          <w:rFonts w:hint="eastAsia" w:eastAsia="黑体"/>
          <w:sz w:val="30"/>
          <w:szCs w:val="30"/>
        </w:rPr>
        <w:t>三、工作举措</w:t>
      </w:r>
    </w:p>
    <w:p w14:paraId="08353117">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（一）确定检查事项清单</w:t>
      </w:r>
    </w:p>
    <w:p w14:paraId="0037A03D">
      <w:pPr>
        <w:overflowPunct w:val="0"/>
        <w:autoSpaceDN w:val="0"/>
        <w:spacing w:line="560" w:lineRule="exact"/>
        <w:ind w:firstLine="600" w:firstLineChars="200"/>
        <w:rPr>
          <w:rFonts w:eastAsia="仿宋_GB2312"/>
          <w:sz w:val="30"/>
          <w:szCs w:val="30"/>
        </w:rPr>
      </w:pPr>
      <w:r>
        <w:rPr>
          <w:rFonts w:hint="eastAsia" w:eastAsia="仿宋_GB2312"/>
          <w:sz w:val="30"/>
          <w:szCs w:val="30"/>
        </w:rPr>
        <w:t>根据跨部门综合监管改革工作要求，结合法律法规和权力事项清单，梳理形成联合执法检查事项清单，列明检查事项、检查部门、检查频次、检查方式、检查重点、检查依据等内容，实现监管职责清单化、监管事项标准化、监管过程规范化。</w:t>
      </w:r>
    </w:p>
    <w:p w14:paraId="7DF03C85">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（二）明确综合检查对象名单</w:t>
      </w:r>
    </w:p>
    <w:p w14:paraId="14B7875F">
      <w:pPr>
        <w:overflowPunct w:val="0"/>
        <w:autoSpaceDN w:val="0"/>
        <w:spacing w:line="560" w:lineRule="exact"/>
        <w:ind w:firstLine="600" w:firstLineChars="200"/>
        <w:rPr>
          <w:rFonts w:eastAsia="仿宋_GB2312"/>
          <w:sz w:val="30"/>
          <w:szCs w:val="30"/>
        </w:rPr>
      </w:pPr>
      <w:r>
        <w:rPr>
          <w:rFonts w:hint="eastAsia" w:eastAsia="仿宋_GB2312"/>
          <w:sz w:val="30"/>
          <w:szCs w:val="30"/>
        </w:rPr>
        <w:t>按照“谁审批、谁监管，谁主管、谁监管”的原则，各区商务主管部门会同卫生健康委（疾病预防控制局）等部门，按照“双随机、一公开”的要求，在属地美容美发经营场所中按一定比例抽取检查名单，开展监督检查。</w:t>
      </w:r>
    </w:p>
    <w:p w14:paraId="0574004D">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（三）建立执法检查人员名录库</w:t>
      </w:r>
    </w:p>
    <w:p w14:paraId="4A77E8A4">
      <w:pPr>
        <w:overflowPunct w:val="0"/>
        <w:autoSpaceDN w:val="0"/>
        <w:spacing w:line="560" w:lineRule="exact"/>
        <w:ind w:firstLine="600" w:firstLineChars="200"/>
        <w:rPr>
          <w:rFonts w:eastAsia="仿宋_GB2312"/>
          <w:sz w:val="30"/>
          <w:szCs w:val="30"/>
        </w:rPr>
      </w:pPr>
      <w:r>
        <w:rPr>
          <w:rFonts w:hint="eastAsia" w:eastAsia="仿宋_GB2312"/>
          <w:sz w:val="30"/>
          <w:szCs w:val="30"/>
        </w:rPr>
        <w:t>按照“双随机、一公开”原则，结合各部门工作实际，确定执法检查人员建立名录库，原则上以各区属地监管部门执法力量为主，市级部门视情派员参加。</w:t>
      </w:r>
    </w:p>
    <w:p w14:paraId="1C584150">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（四）提高综合监管质效</w:t>
      </w:r>
    </w:p>
    <w:p w14:paraId="4BDEADE9">
      <w:pPr>
        <w:overflowPunct w:val="0"/>
        <w:autoSpaceDN w:val="0"/>
        <w:spacing w:line="560" w:lineRule="exact"/>
        <w:ind w:firstLine="600" w:firstLineChars="200"/>
        <w:rPr>
          <w:rFonts w:eastAsia="仿宋_GB2312"/>
          <w:sz w:val="30"/>
          <w:szCs w:val="30"/>
        </w:rPr>
      </w:pPr>
      <w:r>
        <w:rPr>
          <w:rFonts w:hint="eastAsia" w:eastAsia="仿宋_GB2312"/>
          <w:sz w:val="30"/>
          <w:szCs w:val="30"/>
        </w:rPr>
        <w:t>各联合检查部门强化数据共享，充分依托卫生领域常态化监管机制、“消防安全信息平台”“一网统管”平台、市民群众信访投诉等渠道，提前梳理检查对象综合监管风险点，尤其是各类行政处罚或者违规事件，形成检查预案，提升监督检查的精准性和有效性。</w:t>
      </w:r>
    </w:p>
    <w:p w14:paraId="3BC0AA19">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（五）加强监管结果运用</w:t>
      </w:r>
    </w:p>
    <w:p w14:paraId="72D3CF6A">
      <w:pPr>
        <w:overflowPunct w:val="0"/>
        <w:autoSpaceDN w:val="0"/>
        <w:spacing w:line="560" w:lineRule="exact"/>
        <w:ind w:firstLine="600" w:firstLineChars="200"/>
        <w:rPr>
          <w:rFonts w:eastAsia="仿宋_GB2312"/>
          <w:sz w:val="30"/>
          <w:szCs w:val="30"/>
        </w:rPr>
      </w:pPr>
      <w:r>
        <w:rPr>
          <w:rFonts w:hint="eastAsia" w:eastAsia="仿宋_GB2312"/>
          <w:sz w:val="30"/>
          <w:szCs w:val="30"/>
        </w:rPr>
        <w:t>加强跨部门联动，结合违法违规的情节及后果，根据有关法律法规规章分别处置、共享信息。加强检查结果统筹运用，推动“双随机、一公开”监管与信用监管有效衔接，形成“一处违法、处处受限”的联合惩戒机制。</w:t>
      </w:r>
    </w:p>
    <w:p w14:paraId="225E7A90">
      <w:pPr>
        <w:overflowPunct w:val="0"/>
        <w:autoSpaceDN w:val="0"/>
        <w:spacing w:line="560" w:lineRule="exact"/>
        <w:ind w:firstLine="600" w:firstLineChars="200"/>
        <w:rPr>
          <w:rFonts w:eastAsia="黑体"/>
          <w:sz w:val="30"/>
          <w:szCs w:val="30"/>
        </w:rPr>
      </w:pPr>
      <w:r>
        <w:rPr>
          <w:rFonts w:hint="eastAsia" w:eastAsia="黑体"/>
          <w:sz w:val="30"/>
          <w:szCs w:val="30"/>
        </w:rPr>
        <w:t>四、工作内容</w:t>
      </w:r>
    </w:p>
    <w:p w14:paraId="54FD7A5D">
      <w:pPr>
        <w:overflowPunct w:val="0"/>
        <w:autoSpaceDN w:val="0"/>
        <w:spacing w:line="560" w:lineRule="exact"/>
        <w:ind w:firstLine="600" w:firstLineChars="200"/>
        <w:rPr>
          <w:rFonts w:eastAsia="仿宋_GB2312"/>
          <w:sz w:val="30"/>
          <w:szCs w:val="30"/>
        </w:rPr>
      </w:pPr>
      <w:r>
        <w:rPr>
          <w:rFonts w:hint="eastAsia" w:eastAsia="仿宋_GB2312"/>
          <w:sz w:val="30"/>
          <w:szCs w:val="30"/>
        </w:rPr>
        <w:t>每年按上、下半年各一次的频率开展联合执法检查。检查事项主要包括三个领域，即卫生健康领域监督检查、消防安全领域监督检查、市场监管领域监督检查相关事项。</w:t>
      </w:r>
    </w:p>
    <w:p w14:paraId="5FCC7A73">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（一）卫生健康领域监督检查</w:t>
      </w:r>
    </w:p>
    <w:p w14:paraId="2800C369">
      <w:pPr>
        <w:overflowPunct w:val="0"/>
        <w:autoSpaceDN w:val="0"/>
        <w:spacing w:line="560" w:lineRule="exact"/>
        <w:ind w:firstLine="600" w:firstLineChars="200"/>
        <w:rPr>
          <w:rFonts w:eastAsia="仿宋_GB2312"/>
          <w:sz w:val="30"/>
          <w:szCs w:val="30"/>
        </w:rPr>
      </w:pPr>
      <w:r>
        <w:rPr>
          <w:rFonts w:hint="eastAsia" w:eastAsia="仿宋_GB2312"/>
          <w:sz w:val="30"/>
          <w:szCs w:val="30"/>
        </w:rPr>
        <w:t>由卫生健康委（疾病预防控制局）负责，主要包括公共场所卫生的监督检查，集中空调通风系统卫生的监督检查，及控烟监督检查。</w:t>
      </w:r>
    </w:p>
    <w:p w14:paraId="11CBDD15">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（二）消防安全领域监督检查</w:t>
      </w:r>
    </w:p>
    <w:p w14:paraId="052E3566">
      <w:pPr>
        <w:overflowPunct w:val="0"/>
        <w:autoSpaceDN w:val="0"/>
        <w:spacing w:line="560" w:lineRule="exact"/>
        <w:ind w:firstLine="600" w:firstLineChars="200"/>
        <w:rPr>
          <w:rFonts w:eastAsia="仿宋_GB2312"/>
          <w:sz w:val="30"/>
          <w:szCs w:val="30"/>
        </w:rPr>
      </w:pPr>
      <w:r>
        <w:rPr>
          <w:rFonts w:hint="eastAsia" w:eastAsia="仿宋_GB2312"/>
          <w:sz w:val="30"/>
          <w:szCs w:val="30"/>
        </w:rPr>
        <w:t>由消防救援机构负责，属地消防救援机构根据职责分工实施日常监督检查，主要包括消防安全制度、消防设施器材、安全疏散设施、消防培训演练等内容。</w:t>
      </w:r>
    </w:p>
    <w:p w14:paraId="0F65701E">
      <w:pPr>
        <w:overflowPunct w:val="0"/>
        <w:autoSpaceDN w:val="0"/>
        <w:spacing w:line="560" w:lineRule="exact"/>
        <w:ind w:firstLine="600" w:firstLineChars="200"/>
        <w:rPr>
          <w:rFonts w:eastAsia="仿宋_GB2312"/>
          <w:sz w:val="30"/>
          <w:szCs w:val="30"/>
        </w:rPr>
      </w:pPr>
      <w:r>
        <w:rPr>
          <w:rFonts w:hint="eastAsia" w:eastAsia="仿宋_GB2312"/>
          <w:sz w:val="30"/>
          <w:szCs w:val="30"/>
        </w:rPr>
        <w:t>公安派出所叠加消防救援机构对非消防安全重点单位中的美容美发场所开展日常消防监督检查，主要包括消防车通道、疏散通道、安全出口是否畅通，室内消火栓、疏散指示标志、应急照明、灭火器是否完好有效等内容。</w:t>
      </w:r>
    </w:p>
    <w:p w14:paraId="46D8BF67">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（三）市场监管领域监督检查</w:t>
      </w:r>
    </w:p>
    <w:p w14:paraId="16CC4C88">
      <w:pPr>
        <w:overflowPunct w:val="0"/>
        <w:autoSpaceDN w:val="0"/>
        <w:spacing w:line="560" w:lineRule="exact"/>
        <w:ind w:firstLine="600" w:firstLineChars="200"/>
        <w:rPr>
          <w:rFonts w:eastAsia="仿宋_GB2312"/>
          <w:sz w:val="30"/>
          <w:szCs w:val="30"/>
        </w:rPr>
      </w:pPr>
      <w:r>
        <w:rPr>
          <w:rFonts w:hint="eastAsia" w:eastAsia="仿宋_GB2312"/>
          <w:sz w:val="30"/>
          <w:szCs w:val="30"/>
        </w:rPr>
        <w:t>由市场监管局负责，主要包括对美容美发场所使用的消费品进行质量监管，对虚假宣传、违反明码标价规定等违法行为开展监督检查。</w:t>
      </w:r>
    </w:p>
    <w:p w14:paraId="0F8108F9">
      <w:pPr>
        <w:overflowPunct w:val="0"/>
        <w:autoSpaceDN w:val="0"/>
        <w:spacing w:line="560" w:lineRule="exact"/>
        <w:ind w:firstLine="600" w:firstLineChars="200"/>
        <w:rPr>
          <w:rFonts w:eastAsia="黑体"/>
          <w:sz w:val="30"/>
          <w:szCs w:val="30"/>
        </w:rPr>
      </w:pPr>
      <w:r>
        <w:rPr>
          <w:rFonts w:hint="eastAsia" w:eastAsia="黑体"/>
          <w:sz w:val="30"/>
          <w:szCs w:val="30"/>
        </w:rPr>
        <w:t>五、保障措施</w:t>
      </w:r>
    </w:p>
    <w:p w14:paraId="6620148E">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（一）加强组织领导</w:t>
      </w:r>
    </w:p>
    <w:p w14:paraId="2EC66C35">
      <w:pPr>
        <w:overflowPunct w:val="0"/>
        <w:autoSpaceDN w:val="0"/>
        <w:spacing w:line="560" w:lineRule="exact"/>
        <w:ind w:firstLine="600" w:firstLineChars="200"/>
        <w:rPr>
          <w:rFonts w:eastAsia="仿宋_GB2312"/>
          <w:sz w:val="30"/>
          <w:szCs w:val="30"/>
        </w:rPr>
      </w:pPr>
      <w:r>
        <w:rPr>
          <w:rFonts w:hint="eastAsia" w:eastAsia="仿宋_GB2312"/>
          <w:sz w:val="30"/>
          <w:szCs w:val="30"/>
        </w:rPr>
        <w:t>各区成立由区商务主管部门牵头的跨部门综合监管执法检查工作机制，统筹协调区卫生健康委（疾病预防控制局）、区消防救援局、区公安机关、区市场监督管理局等部门职责，形成相关部门各司其职、协同配合、上下联动的工作格局。各区相关部门监管职责发生调整的，相应监管职责由本级人民政府确定的部门实施。</w:t>
      </w:r>
    </w:p>
    <w:p w14:paraId="7F4B04A7">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（二）明确职责分工</w:t>
      </w:r>
    </w:p>
    <w:p w14:paraId="0F4CCF88">
      <w:pPr>
        <w:overflowPunct w:val="0"/>
        <w:autoSpaceDN w:val="0"/>
        <w:spacing w:line="560" w:lineRule="exact"/>
        <w:ind w:firstLine="600" w:firstLineChars="200"/>
        <w:rPr>
          <w:rFonts w:eastAsia="仿宋_GB2312"/>
          <w:sz w:val="30"/>
          <w:szCs w:val="30"/>
        </w:rPr>
      </w:pPr>
      <w:r>
        <w:rPr>
          <w:rFonts w:hint="eastAsia" w:eastAsia="仿宋_GB2312"/>
          <w:sz w:val="30"/>
          <w:szCs w:val="30"/>
        </w:rPr>
        <w:t>区商务主管部门牵头美容美发行业跨部门综合监管工作。区卫生健康委（疾病预防控制局）协助建立综合监管对象库，做好许可证审批，开展监督检查。区消防救援局开展消防监督检查，对违法行为依法予以处理。区公安机关对相关违法行为开展查处，可以负责对非消防安全重点单位开展日常消防监督检查。区市场监督管理局开展质量监管，对虚假宣传、违反明码标价规定等违法行为开展监督检查。</w:t>
      </w:r>
    </w:p>
    <w:p w14:paraId="211A875A">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（三）加强闭环管理</w:t>
      </w:r>
    </w:p>
    <w:p w14:paraId="28EEAB0D">
      <w:pPr>
        <w:overflowPunct w:val="0"/>
        <w:autoSpaceDN w:val="0"/>
        <w:spacing w:line="560" w:lineRule="exact"/>
        <w:ind w:firstLine="640"/>
        <w:rPr>
          <w:rFonts w:eastAsia="仿宋_GB2312"/>
          <w:sz w:val="30"/>
          <w:szCs w:val="30"/>
        </w:rPr>
      </w:pPr>
      <w:r>
        <w:rPr>
          <w:rFonts w:hint="eastAsia" w:eastAsia="仿宋_GB2312"/>
          <w:sz w:val="30"/>
          <w:szCs w:val="30"/>
        </w:rPr>
        <w:t>检查准备阶段，要充分梳理综合监管风险点，形成重点预警信息。检查中发现的违法违规问题，要加强跨部门联动，结合违法违规的情节及后果，综合运用行政强制、行政处罚、联合惩戒、移送司法机关处理等手段，依法进行惩处。同时，要推动实现跨部门联合惩戒，通过监管促规范，引导行业合规合法健康发展。</w:t>
      </w:r>
    </w:p>
    <w:p w14:paraId="17C1D3E0">
      <w:pPr>
        <w:overflowPunct w:val="0"/>
        <w:autoSpaceDN w:val="0"/>
        <w:spacing w:line="560" w:lineRule="exact"/>
        <w:ind w:firstLine="602" w:firstLineChars="200"/>
        <w:rPr>
          <w:rFonts w:eastAsia="楷体_GB2312"/>
          <w:b/>
          <w:bCs/>
          <w:sz w:val="30"/>
          <w:szCs w:val="30"/>
        </w:rPr>
      </w:pPr>
      <w:r>
        <w:rPr>
          <w:rFonts w:hint="eastAsia" w:eastAsia="楷体_GB2312"/>
          <w:b/>
          <w:bCs/>
          <w:sz w:val="30"/>
          <w:szCs w:val="30"/>
        </w:rPr>
        <w:t>（四）做好宣传引导</w:t>
      </w:r>
    </w:p>
    <w:p w14:paraId="0E63E2C8">
      <w:pPr>
        <w:rPr>
          <w:rFonts w:hint="eastAsia" w:eastAsia="仿宋_GB2312"/>
          <w:lang w:eastAsia="zh-CN"/>
        </w:rPr>
      </w:pPr>
      <w:r>
        <w:rPr>
          <w:rFonts w:hint="eastAsia" w:eastAsia="仿宋_GB2312"/>
          <w:sz w:val="30"/>
          <w:szCs w:val="30"/>
        </w:rPr>
        <w:t>加强跨部门综合监管执法检查的宣传引导，扩大综合监管社会知晓度，按照“谁检查、谁录入、谁公开”的原则，在抽查检查结果形成后及时向社会公示综合监管成果，接受社会监督，提升市场主体对综合监管工作的支持度与满意度。推动监管对象、监管行为</w:t>
      </w:r>
      <w:r>
        <w:rPr>
          <w:rFonts w:hint="eastAsia" w:eastAsia="仿宋_GB2312"/>
          <w:sz w:val="30"/>
          <w:szCs w:val="30"/>
          <w:lang w:eastAsia="zh-CN"/>
        </w:rPr>
        <w:t>，</w:t>
      </w:r>
      <w:r>
        <w:rPr>
          <w:rFonts w:hint="eastAsia" w:eastAsia="仿宋_GB2312"/>
          <w:sz w:val="30"/>
          <w:szCs w:val="30"/>
        </w:rPr>
        <w:t>监管结果等相关数据的互联互通、共享应用，提升监管质效。</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5BCF1">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04DD76E">
                          <w:pPr>
                            <w:pStyle w:val="2"/>
                            <w:rPr>
                              <w:rStyle w:val="5"/>
                              <w:rFonts w:hint="eastAsia" w:ascii="仿宋_GB2312" w:eastAsia="仿宋_GB2312"/>
                              <w:sz w:val="28"/>
                              <w:szCs w:val="28"/>
                            </w:rPr>
                          </w:pPr>
                          <w:r>
                            <w:rPr>
                              <w:rStyle w:val="5"/>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Style w:val="5"/>
                              <w:rFonts w:hint="eastAsia" w:ascii="仿宋_GB2312" w:eastAsia="仿宋_GB2312"/>
                              <w:sz w:val="28"/>
                              <w:szCs w:val="28"/>
                            </w:rPr>
                            <w:fldChar w:fldCharType="separate"/>
                          </w:r>
                          <w:r>
                            <w:rPr>
                              <w:rStyle w:val="5"/>
                              <w:rFonts w:ascii="仿宋_GB2312" w:eastAsia="仿宋_GB2312"/>
                              <w:sz w:val="28"/>
                              <w:szCs w:val="28"/>
                            </w:rPr>
                            <w:t>- 16 -</w:t>
                          </w:r>
                          <w:r>
                            <w:rPr>
                              <w:rStyle w:val="5"/>
                              <w:rFonts w:hint="eastAsia" w:ascii="仿宋_GB2312" w:eastAsia="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04DD76E">
                    <w:pPr>
                      <w:pStyle w:val="2"/>
                      <w:rPr>
                        <w:rStyle w:val="5"/>
                        <w:rFonts w:hint="eastAsia" w:ascii="仿宋_GB2312" w:eastAsia="仿宋_GB2312"/>
                        <w:sz w:val="28"/>
                        <w:szCs w:val="28"/>
                      </w:rPr>
                    </w:pPr>
                    <w:r>
                      <w:rPr>
                        <w:rStyle w:val="5"/>
                        <w:rFonts w:hint="eastAsia" w:ascii="仿宋_GB2312" w:eastAsia="仿宋_GB2312"/>
                        <w:sz w:val="28"/>
                        <w:szCs w:val="28"/>
                      </w:rPr>
                      <w:fldChar w:fldCharType="begin"/>
                    </w:r>
                    <w:r>
                      <w:rPr>
                        <w:rStyle w:val="5"/>
                        <w:rFonts w:hint="eastAsia" w:ascii="仿宋_GB2312" w:eastAsia="仿宋_GB2312"/>
                        <w:sz w:val="28"/>
                        <w:szCs w:val="28"/>
                      </w:rPr>
                      <w:instrText xml:space="preserve">PAGE  </w:instrText>
                    </w:r>
                    <w:r>
                      <w:rPr>
                        <w:rStyle w:val="5"/>
                        <w:rFonts w:hint="eastAsia" w:ascii="仿宋_GB2312" w:eastAsia="仿宋_GB2312"/>
                        <w:sz w:val="28"/>
                        <w:szCs w:val="28"/>
                      </w:rPr>
                      <w:fldChar w:fldCharType="separate"/>
                    </w:r>
                    <w:r>
                      <w:rPr>
                        <w:rStyle w:val="5"/>
                        <w:rFonts w:ascii="仿宋_GB2312" w:eastAsia="仿宋_GB2312"/>
                        <w:sz w:val="28"/>
                        <w:szCs w:val="28"/>
                      </w:rPr>
                      <w:t>- 16 -</w:t>
                    </w:r>
                    <w:r>
                      <w:rPr>
                        <w:rStyle w:val="5"/>
                        <w:rFonts w:hint="eastAsia" w:ascii="仿宋_GB2312" w:eastAsia="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572A07"/>
    <w:rsid w:val="103B5FBA"/>
    <w:rsid w:val="39572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2342</Words>
  <Characters>2353</Characters>
  <Lines>0</Lines>
  <Paragraphs>0</Paragraphs>
  <TotalTime>0</TotalTime>
  <ScaleCrop>false</ScaleCrop>
  <LinksUpToDate>false</LinksUpToDate>
  <CharactersWithSpaces>2353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2026-01-20T02:37:00Z</dcterms:created>
  <dc:creator>Anne</dc:creator>
  <cp:lastModifiedBy>Anne</cp:lastModifiedBy>
  <dcterms:modified xsi:type="dcterms:W3CDTF">2026-01-20T02:41:51Z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80F184C83A9C4A41BF3175900002961D_11</vt:lpwstr>
  </property>
  <property fmtid="{D5CDD505-2E9C-101B-9397-08002B2CF9AE}" pid="4" name="KSOTemplateDocerSaveRecord">
    <vt:lpwstr>eyJoZGlkIjoiMzVmZjM3NDcwNjZlYWM0MWYxZGRiZDAzMjg1NjNlZDIiLCJ1c2VySWQiOiI1NjA2NDQ1NTEifQ==</vt:lpwstr>
  </property>
</Properties>
</file>