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3"/>
        <w:rPr>
          <w:rFonts w:hint="eastAsia" w:cs="宋体" w:asciiTheme="majorEastAsia" w:hAnsiTheme="majorEastAsia" w:eastAsiaTheme="majorEastAsia"/>
          <w:b/>
          <w:bCs/>
          <w:sz w:val="36"/>
          <w:szCs w:val="36"/>
        </w:rPr>
      </w:pPr>
    </w:p>
    <w:p>
      <w:pPr>
        <w:spacing w:after="0" w:line="240" w:lineRule="auto"/>
        <w:jc w:val="center"/>
        <w:outlineLvl w:val="3"/>
        <w:rPr>
          <w:rFonts w:cs="宋体" w:asciiTheme="majorEastAsia" w:hAnsiTheme="majorEastAsia" w:eastAsiaTheme="majorEastAsia"/>
          <w:b/>
          <w:bCs/>
          <w:sz w:val="36"/>
          <w:szCs w:val="36"/>
        </w:rPr>
      </w:pPr>
      <w:r>
        <w:rPr>
          <w:rFonts w:cs="宋体" w:asciiTheme="majorEastAsia" w:hAnsiTheme="majorEastAsia" w:eastAsiaTheme="majorEastAsia"/>
          <w:b/>
          <w:bCs/>
          <w:sz w:val="36"/>
          <w:szCs w:val="36"/>
        </w:rPr>
        <w:t xml:space="preserve">                             </w:t>
      </w:r>
    </w:p>
    <w:p>
      <w:pPr>
        <w:spacing w:after="0" w:line="240" w:lineRule="auto"/>
        <w:jc w:val="center"/>
        <w:outlineLvl w:val="3"/>
        <w:rPr>
          <w:rFonts w:ascii="仿宋_GB2312" w:hAnsi="仿宋_GB2312" w:eastAsia="仿宋_GB2312" w:cs="仿宋_GB2312"/>
          <w:sz w:val="32"/>
          <w:szCs w:val="32"/>
        </w:rPr>
      </w:pPr>
      <w:r>
        <w:rPr>
          <w:rFonts w:cs="宋体" w:asciiTheme="majorEastAsia" w:hAnsiTheme="majorEastAsia" w:eastAsiaTheme="majorEastAsia"/>
          <w:b/>
          <w:bCs/>
          <w:sz w:val="36"/>
          <w:szCs w:val="36"/>
        </w:rPr>
        <w:t xml:space="preserve">                            </w:t>
      </w:r>
      <w:r>
        <w:rPr>
          <w:rFonts w:hint="eastAsia" w:ascii="仿宋_GB2312" w:hAnsi="仿宋_GB2312" w:eastAsia="仿宋_GB2312" w:cs="仿宋_GB2312"/>
          <w:sz w:val="32"/>
          <w:szCs w:val="32"/>
        </w:rPr>
        <w:t>商办电函〔</w:t>
      </w:r>
      <w:r>
        <w:rPr>
          <w:rFonts w:ascii="仿宋_GB2312" w:hAnsi="仿宋_GB2312" w:eastAsia="仿宋_GB2312" w:cs="仿宋_GB2312"/>
          <w:sz w:val="32"/>
          <w:szCs w:val="32"/>
        </w:rPr>
        <w:t>202</w:t>
      </w: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号</w:t>
      </w:r>
    </w:p>
    <w:p>
      <w:pPr>
        <w:spacing w:after="0" w:line="240" w:lineRule="auto"/>
        <w:jc w:val="center"/>
        <w:outlineLvl w:val="3"/>
        <w:rPr>
          <w:rFonts w:ascii="仿宋_GB2312" w:hAnsi="仿宋_GB2312" w:eastAsia="仿宋_GB2312" w:cs="仿宋_GB2312"/>
          <w:sz w:val="32"/>
          <w:szCs w:val="32"/>
        </w:rPr>
      </w:pPr>
    </w:p>
    <w:p>
      <w:pPr>
        <w:spacing w:after="0" w:line="240" w:lineRule="auto"/>
        <w:jc w:val="center"/>
        <w:outlineLvl w:val="3"/>
        <w:rPr>
          <w:rFonts w:cs="宋体" w:asciiTheme="majorEastAsia" w:hAnsiTheme="majorEastAsia" w:eastAsiaTheme="majorEastAsia"/>
          <w:b/>
          <w:bCs/>
          <w:sz w:val="36"/>
          <w:szCs w:val="36"/>
        </w:rPr>
      </w:pPr>
      <w:r>
        <w:rPr>
          <w:rFonts w:cs="宋体" w:asciiTheme="majorEastAsia" w:hAnsiTheme="majorEastAsia" w:eastAsiaTheme="majorEastAsia"/>
          <w:b/>
          <w:bCs/>
          <w:sz w:val="36"/>
          <w:szCs w:val="36"/>
        </w:rPr>
        <w:t>商务部办公厅</w:t>
      </w:r>
      <w:r>
        <w:rPr>
          <w:rFonts w:hint="eastAsia" w:cs="宋体" w:asciiTheme="majorEastAsia" w:hAnsiTheme="majorEastAsia" w:eastAsiaTheme="majorEastAsia"/>
          <w:b/>
          <w:bCs/>
          <w:sz w:val="36"/>
          <w:szCs w:val="36"/>
        </w:rPr>
        <w:t>关于开展</w:t>
      </w:r>
      <w:r>
        <w:rPr>
          <w:rFonts w:cs="宋体" w:asciiTheme="majorEastAsia" w:hAnsiTheme="majorEastAsia" w:eastAsiaTheme="majorEastAsia"/>
          <w:b/>
          <w:bCs/>
          <w:sz w:val="36"/>
          <w:szCs w:val="36"/>
        </w:rPr>
        <w:t>国家电子商务示范基地</w:t>
      </w:r>
    </w:p>
    <w:p>
      <w:pPr>
        <w:spacing w:after="0" w:line="240" w:lineRule="auto"/>
        <w:jc w:val="center"/>
        <w:outlineLvl w:val="3"/>
        <w:rPr>
          <w:rFonts w:cs="宋体" w:asciiTheme="majorEastAsia" w:hAnsiTheme="majorEastAsia" w:eastAsiaTheme="majorEastAsia"/>
          <w:b/>
          <w:bCs/>
          <w:sz w:val="36"/>
          <w:szCs w:val="36"/>
        </w:rPr>
      </w:pPr>
      <w:r>
        <w:rPr>
          <w:rFonts w:cs="宋体" w:asciiTheme="majorEastAsia" w:hAnsiTheme="majorEastAsia" w:eastAsiaTheme="majorEastAsia"/>
          <w:b/>
          <w:bCs/>
          <w:sz w:val="36"/>
          <w:szCs w:val="36"/>
        </w:rPr>
        <w:t>综合评价</w:t>
      </w:r>
      <w:r>
        <w:rPr>
          <w:rFonts w:hint="eastAsia" w:cs="宋体" w:asciiTheme="majorEastAsia" w:hAnsiTheme="majorEastAsia" w:eastAsiaTheme="majorEastAsia"/>
          <w:b/>
          <w:bCs/>
          <w:sz w:val="36"/>
          <w:szCs w:val="36"/>
        </w:rPr>
        <w:t>工作</w:t>
      </w:r>
      <w:r>
        <w:rPr>
          <w:rFonts w:cs="宋体" w:asciiTheme="majorEastAsia" w:hAnsiTheme="majorEastAsia" w:eastAsiaTheme="majorEastAsia"/>
          <w:b/>
          <w:bCs/>
          <w:sz w:val="36"/>
          <w:szCs w:val="36"/>
        </w:rPr>
        <w:t>的通知</w:t>
      </w:r>
    </w:p>
    <w:p>
      <w:pPr>
        <w:spacing w:after="0" w:line="240" w:lineRule="auto"/>
        <w:jc w:val="center"/>
        <w:outlineLvl w:val="3"/>
        <w:rPr>
          <w:rFonts w:cs="宋体" w:asciiTheme="majorEastAsia" w:hAnsiTheme="majorEastAsia" w:eastAsiaTheme="majorEastAsia"/>
          <w:b/>
          <w:bCs/>
          <w:sz w:val="36"/>
          <w:szCs w:val="36"/>
        </w:rPr>
      </w:pPr>
    </w:p>
    <w:p>
      <w:pPr>
        <w:spacing w:after="0" w:line="240" w:lineRule="auto"/>
        <w:jc w:val="both"/>
        <w:rPr>
          <w:rFonts w:ascii="仿宋_GB2312" w:hAnsi="仿宋" w:eastAsia="仿宋_GB2312" w:cs="宋体"/>
          <w:sz w:val="32"/>
          <w:szCs w:val="32"/>
        </w:rPr>
      </w:pPr>
      <w:r>
        <w:rPr>
          <w:rFonts w:hint="eastAsia" w:ascii="仿宋_GB2312" w:hAnsi="仿宋" w:eastAsia="仿宋_GB2312" w:cs="宋体"/>
          <w:sz w:val="32"/>
          <w:szCs w:val="32"/>
        </w:rPr>
        <w:t>各省、自治区、直辖市及计划单列市、新疆生产建设兵团商务主管部门：</w:t>
      </w:r>
    </w:p>
    <w:p>
      <w:pPr>
        <w:spacing w:after="0" w:line="240" w:lineRule="auto"/>
        <w:jc w:val="both"/>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为</w:t>
      </w:r>
      <w:r>
        <w:rPr>
          <w:rFonts w:hint="eastAsia" w:ascii="仿宋_GB2312" w:hAnsi="仿宋_GB2312" w:eastAsia="仿宋_GB2312" w:cs="仿宋_GB2312"/>
          <w:sz w:val="32"/>
          <w:szCs w:val="32"/>
          <w:lang w:eastAsia="zh-CN" w:bidi="ar"/>
        </w:rPr>
        <w:t>全面贯彻落实</w:t>
      </w:r>
      <w:r>
        <w:rPr>
          <w:rFonts w:hint="eastAsia" w:ascii="仿宋_GB2312" w:hAnsi="仿宋_GB2312" w:eastAsia="仿宋_GB2312" w:cs="仿宋_GB2312"/>
          <w:sz w:val="32"/>
          <w:szCs w:val="32"/>
          <w:lang w:bidi="ar"/>
        </w:rPr>
        <w:t>党的二十大和中央经济工作会议精神，更好发挥</w:t>
      </w:r>
      <w:r>
        <w:rPr>
          <w:rFonts w:hint="eastAsia" w:ascii="仿宋_GB2312" w:hAnsi="仿宋_GB2312" w:eastAsia="仿宋_GB2312" w:cs="仿宋_GB2312"/>
          <w:sz w:val="32"/>
          <w:szCs w:val="32"/>
        </w:rPr>
        <w:t>国家电子商务示范基地（以下简称示范基地）</w:t>
      </w:r>
      <w:r>
        <w:rPr>
          <w:rFonts w:hint="eastAsia" w:ascii="仿宋_GB2312" w:hAnsi="仿宋_GB2312" w:eastAsia="仿宋_GB2312" w:cs="仿宋_GB2312"/>
          <w:sz w:val="32"/>
          <w:szCs w:val="32"/>
          <w:lang w:eastAsia="zh-CN"/>
        </w:rPr>
        <w:t>在促进数字经济和实体经济深度融合、改造提升传统产业、带动创业就业、促进乡村振兴等方面的重要作用</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bidi="ar"/>
        </w:rPr>
        <w:t>《“十四五”电子商务发展规划》</w:t>
      </w:r>
      <w:r>
        <w:rPr>
          <w:rFonts w:hint="eastAsia" w:ascii="仿宋_GB2312" w:hAnsi="仿宋_GB2312" w:eastAsia="仿宋_GB2312" w:cs="仿宋_GB2312"/>
          <w:sz w:val="32"/>
          <w:szCs w:val="32"/>
          <w:lang w:eastAsia="zh-CN" w:bidi="ar"/>
        </w:rPr>
        <w:t>（以下简称《发展规划》）、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商务部关于进一步推进国家电子商务示范基地建设工作的指导意见</w:t>
      </w:r>
      <w:r>
        <w:rPr>
          <w:rFonts w:hint="eastAsia" w:ascii="仿宋_GB2312" w:hAnsi="仿宋_GB2312" w:eastAsia="仿宋_GB2312" w:cs="仿宋_GB2312"/>
          <w:sz w:val="32"/>
          <w:szCs w:val="32"/>
        </w:rPr>
        <w:t>》（</w:t>
      </w:r>
      <w:r>
        <w:rPr>
          <w:rStyle w:val="23"/>
          <w:rFonts w:hint="eastAsia" w:ascii="仿宋_GB2312" w:hAnsi="仿宋_GB2312" w:eastAsia="仿宋_GB2312" w:cs="仿宋_GB2312"/>
          <w:b w:val="0"/>
          <w:bCs w:val="0"/>
          <w:color w:val="000000"/>
          <w:sz w:val="32"/>
          <w:szCs w:val="32"/>
          <w:shd w:val="clear" w:color="auto" w:fill="FFFFFF"/>
          <w:lang w:bidi="ar"/>
        </w:rPr>
        <w:t>商电发〔</w:t>
      </w:r>
      <w:r>
        <w:rPr>
          <w:rStyle w:val="23"/>
          <w:rFonts w:ascii="仿宋_GB2312" w:hAnsi="仿宋_GB2312" w:eastAsia="仿宋_GB2312" w:cs="仿宋_GB2312"/>
          <w:b w:val="0"/>
          <w:bCs w:val="0"/>
          <w:color w:val="000000"/>
          <w:sz w:val="32"/>
          <w:szCs w:val="32"/>
          <w:shd w:val="clear" w:color="auto" w:fill="FFFFFF"/>
          <w:lang w:bidi="ar"/>
        </w:rPr>
        <w:t>2017</w:t>
      </w:r>
      <w:r>
        <w:rPr>
          <w:rStyle w:val="23"/>
          <w:rFonts w:hint="eastAsia" w:ascii="仿宋_GB2312" w:hAnsi="仿宋_GB2312" w:eastAsia="仿宋_GB2312" w:cs="仿宋_GB2312"/>
          <w:b w:val="0"/>
          <w:bCs w:val="0"/>
          <w:color w:val="000000"/>
          <w:sz w:val="32"/>
          <w:szCs w:val="32"/>
          <w:shd w:val="clear" w:color="auto" w:fill="FFFFFF"/>
          <w:lang w:bidi="ar"/>
        </w:rPr>
        <w:t>〕</w:t>
      </w:r>
      <w:r>
        <w:rPr>
          <w:rStyle w:val="23"/>
          <w:rFonts w:ascii="仿宋_GB2312" w:hAnsi="仿宋_GB2312" w:eastAsia="仿宋_GB2312" w:cs="仿宋_GB2312"/>
          <w:b w:val="0"/>
          <w:bCs w:val="0"/>
          <w:color w:val="000000"/>
          <w:sz w:val="32"/>
          <w:szCs w:val="32"/>
          <w:shd w:val="clear" w:color="auto" w:fill="FFFFFF"/>
          <w:lang w:bidi="ar"/>
        </w:rPr>
        <w:t>26号，以下简称</w:t>
      </w:r>
      <w:r>
        <w:rPr>
          <w:rStyle w:val="23"/>
          <w:rFonts w:hint="eastAsia" w:ascii="仿宋_GB2312" w:hAnsi="仿宋_GB2312" w:eastAsia="仿宋_GB2312" w:cs="仿宋_GB2312"/>
          <w:b w:val="0"/>
          <w:bCs w:val="0"/>
          <w:color w:val="000000"/>
          <w:sz w:val="32"/>
          <w:szCs w:val="32"/>
          <w:shd w:val="clear" w:color="auto" w:fill="FFFFFF"/>
          <w:lang w:bidi="ar"/>
        </w:rPr>
        <w:t>《指导意见》），</w:t>
      </w:r>
      <w:r>
        <w:rPr>
          <w:rStyle w:val="23"/>
          <w:rFonts w:ascii="仿宋_GB2312" w:hAnsi="仿宋_GB2312" w:eastAsia="仿宋_GB2312" w:cs="仿宋_GB2312"/>
          <w:b w:val="0"/>
          <w:bCs w:val="0"/>
          <w:color w:val="000000"/>
          <w:sz w:val="32"/>
          <w:szCs w:val="32"/>
          <w:shd w:val="clear" w:color="auto" w:fill="FFFFFF"/>
          <w:lang w:val="en" w:bidi="ar"/>
        </w:rPr>
        <w:t>202</w:t>
      </w:r>
      <w:r>
        <w:rPr>
          <w:rStyle w:val="23"/>
          <w:rFonts w:hint="eastAsia" w:ascii="仿宋_GB2312" w:hAnsi="仿宋_GB2312" w:eastAsia="仿宋_GB2312" w:cs="仿宋_GB2312"/>
          <w:b w:val="0"/>
          <w:bCs w:val="0"/>
          <w:color w:val="000000"/>
          <w:sz w:val="32"/>
          <w:szCs w:val="32"/>
          <w:shd w:val="clear" w:color="auto" w:fill="FFFFFF"/>
          <w:lang w:bidi="ar"/>
        </w:rPr>
        <w:t>3</w:t>
      </w:r>
      <w:r>
        <w:rPr>
          <w:rStyle w:val="23"/>
          <w:rFonts w:hint="eastAsia" w:ascii="仿宋_GB2312" w:hAnsi="仿宋_GB2312" w:eastAsia="仿宋_GB2312" w:cs="仿宋_GB2312"/>
          <w:b w:val="0"/>
          <w:bCs w:val="0"/>
          <w:color w:val="000000"/>
          <w:sz w:val="32"/>
          <w:szCs w:val="32"/>
          <w:shd w:val="clear" w:color="auto" w:fill="FFFFFF"/>
          <w:lang w:val="en" w:bidi="ar"/>
        </w:rPr>
        <w:t>年，</w:t>
      </w:r>
      <w:r>
        <w:rPr>
          <w:rStyle w:val="23"/>
          <w:rFonts w:hint="eastAsia" w:ascii="仿宋_GB2312" w:hAnsi="仿宋_GB2312" w:eastAsia="仿宋_GB2312" w:cs="仿宋_GB2312"/>
          <w:b w:val="0"/>
          <w:bCs w:val="0"/>
          <w:color w:val="000000"/>
          <w:sz w:val="32"/>
          <w:szCs w:val="32"/>
          <w:shd w:val="clear" w:color="auto" w:fill="FFFFFF"/>
          <w:lang w:val="en" w:eastAsia="zh-CN" w:bidi="ar"/>
        </w:rPr>
        <w:t>商务部在对《国家电子商务示范基地综合评价办法》（以下简称《综合评价办法》，见附件</w:t>
      </w:r>
      <w:r>
        <w:rPr>
          <w:rStyle w:val="23"/>
          <w:rFonts w:hint="eastAsia" w:ascii="仿宋_GB2312" w:hAnsi="仿宋_GB2312" w:eastAsia="仿宋_GB2312" w:cs="仿宋_GB2312"/>
          <w:b w:val="0"/>
          <w:bCs w:val="0"/>
          <w:color w:val="000000"/>
          <w:sz w:val="32"/>
          <w:szCs w:val="32"/>
          <w:shd w:val="clear" w:color="auto" w:fill="FFFFFF"/>
          <w:lang w:val="en-US" w:eastAsia="zh-CN" w:bidi="ar"/>
        </w:rPr>
        <w:t>1）修改完善的基础上，</w:t>
      </w:r>
      <w:r>
        <w:rPr>
          <w:rFonts w:hint="eastAsia" w:ascii="仿宋_GB2312" w:hAnsi="仿宋_GB2312" w:eastAsia="仿宋_GB2312" w:cs="仿宋_GB2312"/>
          <w:sz w:val="32"/>
          <w:szCs w:val="32"/>
        </w:rPr>
        <w:t>将继续开展示范基地综合评价工作</w:t>
      </w:r>
      <w:r>
        <w:rPr>
          <w:rFonts w:hint="eastAsia" w:ascii="仿宋_GB2312" w:hAnsi="仿宋_GB2312" w:eastAsia="仿宋_GB2312" w:cs="仿宋_GB2312"/>
          <w:sz w:val="32"/>
          <w:szCs w:val="32"/>
          <w:lang w:bidi="ar"/>
        </w:rPr>
        <w:t>。现就有关事项通知如下。</w:t>
      </w:r>
      <w:r>
        <w:rPr>
          <w:rFonts w:ascii="仿宋_GB2312" w:hAnsi="仿宋_GB2312" w:eastAsia="仿宋_GB2312" w:cs="仿宋_GB2312"/>
          <w:sz w:val="32"/>
          <w:szCs w:val="32"/>
          <w:lang w:bidi="ar"/>
        </w:rPr>
        <w:t xml:space="preserve"> </w:t>
      </w:r>
    </w:p>
    <w:p>
      <w:pPr>
        <w:spacing w:after="0" w:line="240" w:lineRule="auto"/>
        <w:ind w:firstLine="640"/>
        <w:jc w:val="both"/>
        <w:rPr>
          <w:rFonts w:ascii="黑体" w:hAnsi="黑体" w:eastAsia="黑体" w:cs="宋体"/>
          <w:sz w:val="32"/>
          <w:szCs w:val="32"/>
        </w:rPr>
      </w:pPr>
      <w:r>
        <w:rPr>
          <w:rFonts w:hint="eastAsia" w:ascii="黑体" w:hAnsi="黑体" w:eastAsia="黑体" w:cs="宋体"/>
          <w:sz w:val="32"/>
          <w:szCs w:val="32"/>
        </w:rPr>
        <w:t>一、评价方法</w:t>
      </w:r>
    </w:p>
    <w:p>
      <w:pPr>
        <w:spacing w:after="0" w:line="240" w:lineRule="auto"/>
        <w:ind w:firstLine="660"/>
        <w:jc w:val="both"/>
        <w:rPr>
          <w:rFonts w:ascii="仿宋_GB2312" w:hAnsi="仿宋" w:eastAsia="仿宋_GB2312" w:cs="宋体"/>
          <w:color w:val="FF0000"/>
          <w:sz w:val="32"/>
          <w:szCs w:val="32"/>
        </w:rPr>
      </w:pPr>
      <w:r>
        <w:rPr>
          <w:rFonts w:hint="eastAsia" w:ascii="楷体_GB2312" w:hAnsi="楷体" w:eastAsia="楷体_GB2312" w:cs="宋体"/>
          <w:b/>
          <w:sz w:val="32"/>
          <w:szCs w:val="32"/>
        </w:rPr>
        <w:t>（一）评价对象。</w:t>
      </w:r>
      <w:r>
        <w:rPr>
          <w:rFonts w:hint="eastAsia" w:ascii="仿宋_GB2312" w:hAnsi="仿宋_GB2312" w:eastAsia="仿宋_GB2312" w:cs="仿宋_GB2312"/>
          <w:bCs/>
          <w:sz w:val="32"/>
          <w:szCs w:val="32"/>
        </w:rPr>
        <w:t>除</w:t>
      </w:r>
      <w:r>
        <w:rPr>
          <w:rFonts w:hint="eastAsia" w:ascii="仿宋_GB2312" w:hAnsi="楷体" w:eastAsia="仿宋_GB2312" w:cs="宋体"/>
          <w:sz w:val="32"/>
          <w:szCs w:val="32"/>
        </w:rPr>
        <w:t>现有</w:t>
      </w:r>
      <w:r>
        <w:rPr>
          <w:rFonts w:ascii="仿宋_GB2312" w:hAnsi="楷体" w:eastAsia="仿宋_GB2312" w:cs="宋体"/>
          <w:sz w:val="32"/>
          <w:szCs w:val="32"/>
        </w:rPr>
        <w:t>1</w:t>
      </w:r>
      <w:r>
        <w:rPr>
          <w:rFonts w:hint="eastAsia" w:ascii="仿宋_GB2312" w:hAnsi="楷体" w:eastAsia="仿宋_GB2312" w:cs="宋体"/>
          <w:sz w:val="32"/>
          <w:szCs w:val="32"/>
        </w:rPr>
        <w:t>55家</w:t>
      </w:r>
      <w:r>
        <w:rPr>
          <w:rFonts w:hint="eastAsia" w:ascii="仿宋_GB2312" w:hAnsi="仿宋" w:eastAsia="仿宋_GB2312" w:cs="宋体"/>
          <w:sz w:val="32"/>
          <w:szCs w:val="32"/>
        </w:rPr>
        <w:t>示范基地外，各省级商务主管部门可推荐</w:t>
      </w:r>
      <w:r>
        <w:rPr>
          <w:rFonts w:hint="eastAsia" w:ascii="仿宋_GB2312" w:hAnsi="仿宋" w:eastAsia="仿宋_GB2312" w:cs="宋体"/>
          <w:sz w:val="32"/>
          <w:szCs w:val="32"/>
          <w:lang w:eastAsia="zh-CN"/>
        </w:rPr>
        <w:t>不超过</w:t>
      </w:r>
      <w:r>
        <w:rPr>
          <w:rFonts w:hint="eastAsia" w:ascii="仿宋_GB2312" w:hAnsi="仿宋" w:eastAsia="仿宋_GB2312" w:cs="宋体"/>
          <w:sz w:val="32"/>
          <w:szCs w:val="32"/>
          <w:lang w:val="en-US" w:eastAsia="zh-CN"/>
        </w:rPr>
        <w:t>5</w:t>
      </w:r>
      <w:r>
        <w:rPr>
          <w:rFonts w:ascii="仿宋_GB2312" w:hAnsi="仿宋" w:eastAsia="仿宋_GB2312" w:cs="宋体"/>
          <w:sz w:val="32"/>
          <w:szCs w:val="32"/>
        </w:rPr>
        <w:t>家当地</w:t>
      </w:r>
      <w:r>
        <w:rPr>
          <w:rFonts w:hint="eastAsia" w:ascii="仿宋_GB2312" w:hAnsi="仿宋" w:eastAsia="仿宋_GB2312" w:cs="宋体"/>
          <w:sz w:val="32"/>
          <w:szCs w:val="32"/>
          <w:lang w:eastAsia="zh-CN"/>
        </w:rPr>
        <w:t>其他电</w:t>
      </w:r>
      <w:r>
        <w:rPr>
          <w:rFonts w:ascii="仿宋_GB2312" w:hAnsi="仿宋" w:eastAsia="仿宋_GB2312" w:cs="宋体"/>
          <w:sz w:val="32"/>
          <w:szCs w:val="32"/>
        </w:rPr>
        <w:t>子商务</w:t>
      </w:r>
      <w:r>
        <w:rPr>
          <w:rFonts w:hint="eastAsia" w:ascii="仿宋_GB2312" w:hAnsi="仿宋" w:eastAsia="仿宋_GB2312" w:cs="宋体"/>
          <w:sz w:val="32"/>
          <w:szCs w:val="32"/>
        </w:rPr>
        <w:t>产业基地（</w:t>
      </w:r>
      <w:r>
        <w:rPr>
          <w:rFonts w:hint="eastAsia" w:ascii="仿宋_GB2312" w:hAnsi="仿宋_GB2312" w:eastAsia="仿宋_GB2312" w:cs="仿宋_GB2312"/>
          <w:sz w:val="32"/>
          <w:szCs w:val="32"/>
        </w:rPr>
        <w:t>含电子商务产业园、楼宇型电子商务产业基地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电子商务特色小镇、街、区等类型的电子商务产业集聚区</w:t>
      </w:r>
      <w:r>
        <w:rPr>
          <w:rFonts w:hint="eastAsia" w:ascii="仿宋_GB2312" w:hAnsi="仿宋" w:eastAsia="仿宋_GB2312" w:cs="宋体"/>
          <w:sz w:val="32"/>
          <w:szCs w:val="32"/>
        </w:rPr>
        <w:t>）参评。参评对象</w:t>
      </w:r>
      <w:r>
        <w:rPr>
          <w:rFonts w:hint="eastAsia" w:ascii="仿宋_GB2312" w:hAnsi="仿宋" w:eastAsia="仿宋_GB2312" w:cs="宋体"/>
          <w:sz w:val="32"/>
          <w:szCs w:val="32"/>
          <w:lang w:eastAsia="zh-CN"/>
        </w:rPr>
        <w:t>应</w:t>
      </w:r>
      <w:r>
        <w:rPr>
          <w:rFonts w:hint="eastAsia" w:ascii="仿宋_GB2312" w:hAnsi="仿宋" w:eastAsia="仿宋_GB2312" w:cs="宋体"/>
          <w:sz w:val="32"/>
          <w:szCs w:val="32"/>
        </w:rPr>
        <w:t>边界清晰（</w:t>
      </w:r>
      <w:r>
        <w:rPr>
          <w:rFonts w:hint="eastAsia" w:ascii="仿宋_GB2312" w:hAnsi="仿宋" w:eastAsia="仿宋_GB2312" w:cs="宋体"/>
          <w:sz w:val="32"/>
          <w:szCs w:val="32"/>
          <w:lang w:eastAsia="zh-CN"/>
        </w:rPr>
        <w:t>示范基地</w:t>
      </w:r>
      <w:r>
        <w:rPr>
          <w:rFonts w:hint="eastAsia" w:ascii="仿宋_GB2312" w:hAnsi="仿宋" w:eastAsia="仿宋_GB2312" w:cs="宋体"/>
          <w:sz w:val="32"/>
          <w:szCs w:val="32"/>
        </w:rPr>
        <w:t>因工作需要</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对四至范围进行调整的，要</w:t>
      </w:r>
      <w:r>
        <w:rPr>
          <w:rFonts w:hint="eastAsia" w:ascii="仿宋_GB2312" w:hAnsi="仿宋" w:eastAsia="仿宋_GB2312" w:cs="宋体"/>
          <w:sz w:val="32"/>
          <w:szCs w:val="32"/>
          <w:lang w:eastAsia="zh-CN"/>
        </w:rPr>
        <w:t>对</w:t>
      </w:r>
      <w:r>
        <w:rPr>
          <w:rFonts w:hint="eastAsia" w:ascii="仿宋_GB2312" w:hAnsi="仿宋" w:eastAsia="仿宋_GB2312" w:cs="宋体"/>
          <w:sz w:val="32"/>
          <w:szCs w:val="32"/>
        </w:rPr>
        <w:t>调整理由、调整范围及发展方向等作出详细说明），电子商务企业相对集中，专注发展电子商务；以市、市辖区、经济开发区、高新区等为载体，且电商企业较为分散的，须指定</w:t>
      </w:r>
      <w:r>
        <w:rPr>
          <w:rFonts w:ascii="仿宋_GB2312" w:hAnsi="仿宋" w:eastAsia="仿宋_GB2312" w:cs="宋体"/>
          <w:sz w:val="32"/>
          <w:szCs w:val="32"/>
        </w:rPr>
        <w:t>1个符合上述条件的特定区域参评。各地推荐参评的</w:t>
      </w:r>
      <w:r>
        <w:rPr>
          <w:rFonts w:hint="eastAsia" w:ascii="仿宋_GB2312" w:hAnsi="仿宋" w:eastAsia="仿宋_GB2312" w:cs="宋体"/>
          <w:sz w:val="32"/>
          <w:szCs w:val="32"/>
          <w:lang w:eastAsia="zh-CN"/>
        </w:rPr>
        <w:t>其他</w:t>
      </w:r>
      <w:r>
        <w:rPr>
          <w:rFonts w:hint="eastAsia" w:ascii="仿宋_GB2312" w:hAnsi="仿宋" w:eastAsia="仿宋_GB2312" w:cs="宋体"/>
          <w:sz w:val="32"/>
          <w:szCs w:val="32"/>
        </w:rPr>
        <w:t>电子商务产业基地原则</w:t>
      </w:r>
      <w:r>
        <w:rPr>
          <w:rFonts w:ascii="仿宋_GB2312" w:hAnsi="仿宋" w:eastAsia="仿宋_GB2312" w:cs="宋体"/>
          <w:sz w:val="32"/>
          <w:szCs w:val="32"/>
        </w:rPr>
        <w:t>上</w:t>
      </w:r>
      <w:r>
        <w:rPr>
          <w:rFonts w:hint="eastAsia" w:ascii="仿宋_GB2312" w:hAnsi="仿宋" w:eastAsia="仿宋_GB2312" w:cs="宋体"/>
          <w:sz w:val="32"/>
          <w:szCs w:val="32"/>
        </w:rPr>
        <w:t>应是省级电子商务示范基地；</w:t>
      </w:r>
      <w:r>
        <w:rPr>
          <w:rFonts w:hint="eastAsia" w:ascii="仿宋_GB2312" w:hAnsi="仿宋" w:eastAsia="仿宋_GB2312" w:cs="宋体"/>
          <w:color w:val="auto"/>
          <w:sz w:val="32"/>
          <w:szCs w:val="32"/>
        </w:rPr>
        <w:t>或在数字商务建设领域成效突出，积极</w:t>
      </w:r>
      <w:r>
        <w:rPr>
          <w:rFonts w:ascii="仿宋_GB2312" w:hAnsi="仿宋" w:eastAsia="仿宋_GB2312" w:cs="宋体"/>
          <w:color w:val="auto"/>
          <w:sz w:val="32"/>
          <w:szCs w:val="32"/>
        </w:rPr>
        <w:t>推动</w:t>
      </w:r>
      <w:r>
        <w:rPr>
          <w:rFonts w:hint="eastAsia" w:ascii="仿宋_GB2312" w:hAnsi="仿宋" w:eastAsia="仿宋_GB2312" w:cs="宋体"/>
          <w:color w:val="auto"/>
          <w:sz w:val="32"/>
          <w:szCs w:val="32"/>
        </w:rPr>
        <w:t>数字商务技术模式创新、数字化赋能、绿色低碳转型，并</w:t>
      </w:r>
      <w:r>
        <w:rPr>
          <w:rFonts w:ascii="仿宋_GB2312" w:hAnsi="仿宋" w:eastAsia="仿宋_GB2312" w:cs="宋体"/>
          <w:color w:val="auto"/>
          <w:sz w:val="32"/>
          <w:szCs w:val="32"/>
        </w:rPr>
        <w:t>形成</w:t>
      </w:r>
      <w:r>
        <w:rPr>
          <w:rFonts w:hint="eastAsia" w:ascii="仿宋_GB2312" w:hAnsi="仿宋" w:eastAsia="仿宋_GB2312" w:cs="宋体"/>
          <w:color w:val="auto"/>
          <w:sz w:val="32"/>
          <w:szCs w:val="32"/>
        </w:rPr>
        <w:t>典型案例；或积极开展</w:t>
      </w:r>
      <w:r>
        <w:rPr>
          <w:rFonts w:hint="eastAsia" w:ascii="仿宋_GB2312" w:hAnsi="仿宋" w:eastAsia="仿宋_GB2312" w:cs="宋体"/>
          <w:sz w:val="32"/>
          <w:szCs w:val="32"/>
        </w:rPr>
        <w:t>“数商兴农”，在建设农村电商新型基础设施、打造农产品网络新品牌、培育电商应用新农人等方面措施有力</w:t>
      </w:r>
      <w:r>
        <w:rPr>
          <w:rFonts w:ascii="仿宋_GB2312" w:hAnsi="仿宋" w:eastAsia="仿宋_GB2312" w:cs="宋体"/>
          <w:sz w:val="32"/>
          <w:szCs w:val="32"/>
        </w:rPr>
        <w:t>、</w:t>
      </w:r>
      <w:r>
        <w:rPr>
          <w:rFonts w:hint="eastAsia" w:ascii="仿宋_GB2312" w:hAnsi="仿宋" w:eastAsia="仿宋_GB2312" w:cs="宋体"/>
          <w:sz w:val="32"/>
          <w:szCs w:val="32"/>
        </w:rPr>
        <w:t>效果</w:t>
      </w:r>
      <w:r>
        <w:rPr>
          <w:rFonts w:ascii="仿宋_GB2312" w:hAnsi="仿宋" w:eastAsia="仿宋_GB2312" w:cs="宋体"/>
          <w:sz w:val="32"/>
          <w:szCs w:val="32"/>
        </w:rPr>
        <w:t>明显</w:t>
      </w:r>
      <w:r>
        <w:rPr>
          <w:rFonts w:hint="eastAsia" w:ascii="仿宋_GB2312" w:hAnsi="仿宋" w:eastAsia="仿宋_GB2312" w:cs="宋体"/>
          <w:sz w:val="32"/>
          <w:szCs w:val="32"/>
        </w:rPr>
        <w:t>，</w:t>
      </w:r>
      <w:r>
        <w:rPr>
          <w:rFonts w:ascii="仿宋_GB2312" w:hAnsi="仿宋" w:eastAsia="仿宋_GB2312" w:cs="宋体"/>
          <w:sz w:val="32"/>
          <w:szCs w:val="32"/>
        </w:rPr>
        <w:t>且具备示范</w:t>
      </w:r>
      <w:r>
        <w:rPr>
          <w:rFonts w:hint="eastAsia" w:ascii="仿宋_GB2312" w:hAnsi="仿宋" w:eastAsia="仿宋_GB2312" w:cs="宋体"/>
          <w:sz w:val="32"/>
          <w:szCs w:val="32"/>
        </w:rPr>
        <w:t>和推广价值。</w:t>
      </w:r>
    </w:p>
    <w:p>
      <w:pPr>
        <w:spacing w:after="0" w:line="240" w:lineRule="auto"/>
        <w:ind w:firstLine="636"/>
        <w:jc w:val="both"/>
        <w:rPr>
          <w:rFonts w:ascii="仿宋_GB2312" w:hAnsi="仿宋" w:eastAsia="仿宋_GB2312" w:cs="宋体"/>
          <w:color w:val="FF0000"/>
          <w:sz w:val="32"/>
          <w:szCs w:val="32"/>
        </w:rPr>
      </w:pPr>
      <w:r>
        <w:rPr>
          <w:rFonts w:hint="eastAsia" w:ascii="楷体_GB2312" w:hAnsi="楷体" w:eastAsia="楷体_GB2312" w:cs="宋体"/>
          <w:b/>
          <w:bCs/>
          <w:sz w:val="32"/>
          <w:szCs w:val="32"/>
        </w:rPr>
        <w:t>（二）评价内容。</w:t>
      </w:r>
      <w:r>
        <w:rPr>
          <w:rFonts w:hint="eastAsia" w:ascii="仿宋_GB2312" w:hAnsi="仿宋_GB2312" w:eastAsia="仿宋_GB2312" w:cs="仿宋_GB2312"/>
          <w:sz w:val="32"/>
          <w:szCs w:val="32"/>
        </w:rPr>
        <w:t>重点是</w:t>
      </w:r>
      <w:r>
        <w:rPr>
          <w:rFonts w:hint="eastAsia" w:ascii="仿宋_GB2312" w:hAnsi="仿宋" w:eastAsia="仿宋_GB2312" w:cs="宋体"/>
          <w:sz w:val="32"/>
          <w:szCs w:val="32"/>
        </w:rPr>
        <w:t>落实《指导意见》和</w:t>
      </w:r>
      <w:r>
        <w:rPr>
          <w:rFonts w:hint="eastAsia" w:ascii="仿宋_GB2312" w:hAnsi="仿宋_GB2312" w:eastAsia="仿宋_GB2312" w:cs="仿宋_GB2312"/>
          <w:sz w:val="32"/>
          <w:szCs w:val="32"/>
          <w:lang w:bidi="ar"/>
        </w:rPr>
        <w:t>《发展规划》</w:t>
      </w:r>
      <w:r>
        <w:rPr>
          <w:rFonts w:hint="eastAsia" w:ascii="仿宋_GB2312" w:hAnsi="仿宋" w:eastAsia="仿宋_GB2312" w:cs="宋体"/>
          <w:sz w:val="32"/>
          <w:szCs w:val="32"/>
        </w:rPr>
        <w:t>情况，包括开展示范</w:t>
      </w:r>
      <w:r>
        <w:rPr>
          <w:rFonts w:ascii="仿宋_GB2312" w:hAnsi="仿宋" w:eastAsia="仿宋_GB2312" w:cs="宋体"/>
          <w:sz w:val="32"/>
          <w:szCs w:val="32"/>
        </w:rPr>
        <w:t>创建</w:t>
      </w:r>
      <w:r>
        <w:rPr>
          <w:rFonts w:hint="eastAsia" w:ascii="仿宋_GB2312" w:hAnsi="仿宋" w:eastAsia="仿宋_GB2312" w:cs="宋体"/>
          <w:sz w:val="32"/>
          <w:szCs w:val="32"/>
        </w:rPr>
        <w:t>工作进展、重要举措、取得成效、存在问题及政策建议等。本次综合评价指标数据报告期为</w:t>
      </w:r>
      <w:r>
        <w:rPr>
          <w:rFonts w:ascii="仿宋_GB2312" w:hAnsi="仿宋" w:eastAsia="仿宋_GB2312" w:cs="宋体"/>
          <w:sz w:val="32"/>
          <w:szCs w:val="32"/>
        </w:rPr>
        <w:t>202</w:t>
      </w:r>
      <w:r>
        <w:rPr>
          <w:rFonts w:hint="eastAsia" w:ascii="仿宋_GB2312" w:hAnsi="仿宋" w:eastAsia="仿宋_GB2312" w:cs="宋体"/>
          <w:sz w:val="32"/>
          <w:szCs w:val="32"/>
        </w:rPr>
        <w:t>2年，基期为</w:t>
      </w:r>
      <w:r>
        <w:rPr>
          <w:rFonts w:ascii="仿宋_GB2312" w:hAnsi="仿宋" w:eastAsia="仿宋_GB2312" w:cs="宋体"/>
          <w:sz w:val="32"/>
          <w:szCs w:val="32"/>
        </w:rPr>
        <w:t>202</w:t>
      </w:r>
      <w:r>
        <w:rPr>
          <w:rFonts w:hint="eastAsia" w:ascii="仿宋_GB2312" w:hAnsi="仿宋" w:eastAsia="仿宋_GB2312" w:cs="宋体"/>
          <w:sz w:val="32"/>
          <w:szCs w:val="32"/>
        </w:rPr>
        <w:t>1年。参评对象均</w:t>
      </w:r>
      <w:r>
        <w:rPr>
          <w:rFonts w:hint="eastAsia" w:ascii="仿宋_GB2312" w:hAnsi="仿宋" w:eastAsia="仿宋_GB2312" w:cs="宋体"/>
          <w:sz w:val="32"/>
          <w:szCs w:val="32"/>
          <w:lang w:eastAsia="zh-CN"/>
        </w:rPr>
        <w:t>须</w:t>
      </w:r>
      <w:r>
        <w:rPr>
          <w:rFonts w:hint="eastAsia" w:ascii="仿宋_GB2312" w:hAnsi="仿宋" w:eastAsia="仿宋_GB2312" w:cs="宋体"/>
          <w:sz w:val="32"/>
          <w:szCs w:val="32"/>
        </w:rPr>
        <w:t>按照《综合评价</w:t>
      </w:r>
      <w:r>
        <w:rPr>
          <w:rFonts w:hint="eastAsia" w:ascii="仿宋_GB2312" w:hAnsi="仿宋" w:eastAsia="仿宋_GB2312" w:cs="宋体"/>
          <w:sz w:val="32"/>
          <w:szCs w:val="32"/>
          <w:lang w:eastAsia="zh-CN"/>
        </w:rPr>
        <w:t>办法</w:t>
      </w: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中的综合评价指标体系（指标解释见附件</w:t>
      </w:r>
      <w:r>
        <w:rPr>
          <w:rFonts w:hint="eastAsia" w:ascii="仿宋_GB2312" w:hAnsi="仿宋" w:eastAsia="仿宋_GB2312" w:cs="宋体"/>
          <w:sz w:val="32"/>
          <w:szCs w:val="32"/>
          <w:lang w:val="en-US" w:eastAsia="zh-CN"/>
        </w:rPr>
        <w:t>3</w:t>
      </w:r>
      <w:r>
        <w:rPr>
          <w:rFonts w:hint="eastAsia" w:ascii="仿宋_GB2312" w:hAnsi="仿宋" w:eastAsia="仿宋_GB2312" w:cs="宋体"/>
          <w:sz w:val="32"/>
          <w:szCs w:val="32"/>
          <w:lang w:eastAsia="zh-CN"/>
        </w:rPr>
        <w:t>）</w:t>
      </w:r>
      <w:r>
        <w:rPr>
          <w:rFonts w:ascii="仿宋_GB2312" w:hAnsi="仿宋" w:eastAsia="仿宋_GB2312" w:cs="宋体"/>
          <w:sz w:val="32"/>
          <w:szCs w:val="32"/>
        </w:rPr>
        <w:t>，准确填报《国家电子商务示范基地和其他电子商务</w:t>
      </w:r>
      <w:r>
        <w:rPr>
          <w:rFonts w:hint="eastAsia" w:ascii="仿宋_GB2312" w:hAnsi="仿宋" w:eastAsia="仿宋_GB2312" w:cs="宋体"/>
          <w:sz w:val="32"/>
          <w:szCs w:val="32"/>
        </w:rPr>
        <w:t>产业基地</w:t>
      </w:r>
      <w:r>
        <w:rPr>
          <w:rFonts w:ascii="仿宋_GB2312" w:hAnsi="仿宋" w:eastAsia="仿宋_GB2312" w:cs="宋体"/>
          <w:sz w:val="32"/>
          <w:szCs w:val="32"/>
        </w:rPr>
        <w:t>经营服务情况报告表》（附件2），并提供相关证明材料。</w:t>
      </w:r>
      <w:r>
        <w:rPr>
          <w:rFonts w:hint="eastAsia" w:ascii="仿宋_GB2312" w:hAnsi="仿宋" w:eastAsia="仿宋_GB2312" w:cs="宋体"/>
          <w:sz w:val="32"/>
          <w:szCs w:val="32"/>
        </w:rPr>
        <w:t>示范基地和</w:t>
      </w:r>
      <w:r>
        <w:rPr>
          <w:rFonts w:ascii="仿宋_GB2312" w:hAnsi="仿宋" w:eastAsia="仿宋_GB2312" w:cs="宋体"/>
          <w:sz w:val="32"/>
          <w:szCs w:val="32"/>
        </w:rPr>
        <w:t>202</w:t>
      </w:r>
      <w:r>
        <w:rPr>
          <w:rFonts w:hint="eastAsia" w:ascii="仿宋_GB2312" w:hAnsi="仿宋" w:eastAsia="仿宋_GB2312" w:cs="宋体"/>
          <w:sz w:val="32"/>
          <w:szCs w:val="32"/>
        </w:rPr>
        <w:t>2年已参评其他电子商务产业基地相关证明材料无变化</w:t>
      </w:r>
      <w:r>
        <w:rPr>
          <w:rFonts w:ascii="仿宋_GB2312" w:hAnsi="仿宋" w:eastAsia="仿宋_GB2312" w:cs="宋体"/>
          <w:sz w:val="32"/>
          <w:szCs w:val="32"/>
        </w:rPr>
        <w:t>部分</w:t>
      </w:r>
      <w:r>
        <w:rPr>
          <w:rFonts w:hint="eastAsia" w:ascii="仿宋_GB2312" w:hAnsi="仿宋" w:eastAsia="仿宋_GB2312" w:cs="宋体"/>
          <w:sz w:val="32"/>
          <w:szCs w:val="32"/>
        </w:rPr>
        <w:t>，无需再次提供；按照《国家电子商务示范基地和其他电子商务产业基地自评报告编制说明》（附件</w:t>
      </w:r>
      <w:r>
        <w:rPr>
          <w:rFonts w:hint="eastAsia" w:ascii="仿宋_GB2312" w:hAnsi="仿宋" w:eastAsia="仿宋_GB2312" w:cs="宋体"/>
          <w:sz w:val="32"/>
          <w:szCs w:val="32"/>
          <w:lang w:val="en-US" w:eastAsia="zh-CN"/>
        </w:rPr>
        <w:t>4</w:t>
      </w:r>
      <w:r>
        <w:rPr>
          <w:rFonts w:ascii="仿宋_GB2312" w:hAnsi="仿宋" w:eastAsia="仿宋_GB2312" w:cs="宋体"/>
          <w:sz w:val="32"/>
          <w:szCs w:val="32"/>
        </w:rPr>
        <w:t>），围绕自身建设，突出提升承载</w:t>
      </w:r>
      <w:r>
        <w:rPr>
          <w:rFonts w:hint="eastAsia" w:ascii="仿宋_GB2312" w:hAnsi="仿宋" w:eastAsia="仿宋_GB2312" w:cs="宋体"/>
          <w:sz w:val="32"/>
          <w:szCs w:val="32"/>
        </w:rPr>
        <w:t>能力、</w:t>
      </w:r>
      <w:r>
        <w:rPr>
          <w:rFonts w:hint="eastAsia" w:ascii="仿宋_GB2312" w:hAnsi="仿宋" w:eastAsia="仿宋_GB2312" w:cs="宋体"/>
          <w:color w:val="auto"/>
          <w:sz w:val="32"/>
          <w:szCs w:val="32"/>
        </w:rPr>
        <w:t>服务能力、保障能力、示范能力、创新能力的工作</w:t>
      </w:r>
      <w:r>
        <w:rPr>
          <w:rFonts w:ascii="仿宋_GB2312" w:hAnsi="仿宋" w:eastAsia="仿宋_GB2312" w:cs="宋体"/>
          <w:color w:val="auto"/>
          <w:sz w:val="32"/>
          <w:szCs w:val="32"/>
        </w:rPr>
        <w:t>举措</w:t>
      </w:r>
      <w:r>
        <w:rPr>
          <w:rFonts w:hint="eastAsia" w:ascii="仿宋_GB2312" w:hAnsi="仿宋" w:eastAsia="仿宋_GB2312" w:cs="宋体"/>
          <w:color w:val="auto"/>
          <w:sz w:val="32"/>
          <w:szCs w:val="32"/>
        </w:rPr>
        <w:t>及成效，如实编制自评报告。</w:t>
      </w:r>
    </w:p>
    <w:p>
      <w:pPr>
        <w:spacing w:after="0" w:line="240" w:lineRule="auto"/>
        <w:ind w:firstLine="660"/>
        <w:jc w:val="both"/>
        <w:rPr>
          <w:rFonts w:ascii="仿宋_GB2312" w:hAnsi="仿宋" w:eastAsia="仿宋_GB2312" w:cs="宋体"/>
          <w:sz w:val="32"/>
          <w:szCs w:val="32"/>
        </w:rPr>
      </w:pPr>
      <w:r>
        <w:rPr>
          <w:rFonts w:hint="eastAsia" w:ascii="楷体_GB2312" w:hAnsi="楷体" w:eastAsia="楷体_GB2312" w:cs="宋体"/>
          <w:b/>
          <w:sz w:val="32"/>
          <w:szCs w:val="32"/>
        </w:rPr>
        <w:t>（三）评价方式。</w:t>
      </w:r>
      <w:r>
        <w:rPr>
          <w:rFonts w:hint="eastAsia" w:ascii="仿宋_GB2312" w:hAnsi="仿宋_GB2312" w:eastAsia="仿宋_GB2312" w:cs="仿宋_GB2312"/>
          <w:bCs/>
          <w:sz w:val="32"/>
          <w:szCs w:val="32"/>
        </w:rPr>
        <w:t>按照</w:t>
      </w:r>
      <w:r>
        <w:rPr>
          <w:rFonts w:hint="eastAsia" w:ascii="仿宋_GB2312" w:hAnsi="仿宋" w:eastAsia="仿宋_GB2312" w:cs="宋体"/>
          <w:sz w:val="32"/>
          <w:szCs w:val="32"/>
        </w:rPr>
        <w:t>全面客观、公开透明、科学量化原则，依据《综合评价办法》</w:t>
      </w:r>
      <w:r>
        <w:rPr>
          <w:rFonts w:ascii="仿宋_GB2312" w:hAnsi="仿宋" w:eastAsia="仿宋_GB2312" w:cs="宋体"/>
          <w:sz w:val="32"/>
          <w:szCs w:val="32"/>
        </w:rPr>
        <w:t>确定的评分细则和计算方法，组织专家对</w:t>
      </w:r>
      <w:r>
        <w:rPr>
          <w:rFonts w:hint="eastAsia" w:ascii="仿宋_GB2312" w:hAnsi="仿宋" w:eastAsia="仿宋_GB2312" w:cs="宋体"/>
          <w:sz w:val="32"/>
          <w:szCs w:val="32"/>
        </w:rPr>
        <w:t>示范基地和各地推荐其他电子商务产业基地报送材料进行综合评价。</w:t>
      </w:r>
    </w:p>
    <w:p>
      <w:pPr>
        <w:spacing w:after="0" w:line="240" w:lineRule="auto"/>
        <w:ind w:firstLine="660"/>
        <w:jc w:val="both"/>
        <w:rPr>
          <w:rFonts w:ascii="仿宋_GB2312" w:hAnsi="仿宋" w:eastAsia="仿宋_GB2312" w:cs="宋体"/>
          <w:sz w:val="32"/>
          <w:szCs w:val="32"/>
        </w:rPr>
      </w:pPr>
      <w:r>
        <w:rPr>
          <w:rFonts w:hint="eastAsia" w:ascii="楷体_GB2312" w:hAnsi="楷体" w:eastAsia="楷体_GB2312" w:cs="宋体"/>
          <w:b/>
          <w:sz w:val="32"/>
          <w:szCs w:val="32"/>
        </w:rPr>
        <w:t>（四）评价结果。</w:t>
      </w:r>
      <w:r>
        <w:rPr>
          <w:rFonts w:hint="eastAsia" w:ascii="仿宋_GB2312" w:hAnsi="仿宋" w:eastAsia="仿宋_GB2312" w:cs="宋体"/>
          <w:sz w:val="32"/>
          <w:szCs w:val="32"/>
        </w:rPr>
        <w:t>以综合评价得分</w:t>
      </w:r>
      <w:r>
        <w:rPr>
          <w:rFonts w:ascii="仿宋_GB2312" w:hAnsi="仿宋" w:eastAsia="仿宋_GB2312" w:cs="宋体"/>
          <w:sz w:val="32"/>
          <w:szCs w:val="32"/>
        </w:rPr>
        <w:t>为依据</w:t>
      </w:r>
      <w:r>
        <w:rPr>
          <w:rFonts w:hint="eastAsia" w:ascii="仿宋_GB2312" w:hAnsi="仿宋" w:eastAsia="仿宋_GB2312" w:cs="宋体"/>
          <w:sz w:val="32"/>
          <w:szCs w:val="32"/>
        </w:rPr>
        <w:t>，对分数较低且</w:t>
      </w:r>
      <w:r>
        <w:rPr>
          <w:rFonts w:ascii="仿宋_GB2312" w:hAnsi="仿宋" w:eastAsia="仿宋_GB2312" w:cs="宋体"/>
          <w:sz w:val="32"/>
          <w:szCs w:val="32"/>
        </w:rPr>
        <w:t>202</w:t>
      </w:r>
      <w:r>
        <w:rPr>
          <w:rFonts w:hint="eastAsia" w:ascii="仿宋_GB2312" w:hAnsi="仿宋" w:eastAsia="仿宋_GB2312" w:cs="宋体"/>
          <w:sz w:val="32"/>
          <w:szCs w:val="32"/>
        </w:rPr>
        <w:t>2年以来连续两年排名处于后</w:t>
      </w:r>
      <w:r>
        <w:rPr>
          <w:rFonts w:hint="eastAsia" w:ascii="仿宋_GB2312" w:hAnsi="仿宋" w:eastAsia="仿宋_GB2312" w:cs="宋体"/>
          <w:sz w:val="32"/>
          <w:szCs w:val="32"/>
          <w:lang w:val="en-US" w:eastAsia="zh-CN"/>
        </w:rPr>
        <w:t>2</w:t>
      </w:r>
      <w:r>
        <w:rPr>
          <w:rFonts w:hint="eastAsia" w:ascii="仿宋_GB2312" w:hAnsi="仿宋" w:eastAsia="仿宋_GB2312" w:cs="宋体"/>
          <w:sz w:val="32"/>
          <w:szCs w:val="32"/>
        </w:rPr>
        <w:t>位的示范基地，取消其示范资格；将综合评价得分较高</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且</w:t>
      </w:r>
      <w:r>
        <w:rPr>
          <w:rFonts w:ascii="仿宋_GB2312" w:hAnsi="仿宋" w:eastAsia="仿宋_GB2312" w:cs="宋体"/>
          <w:sz w:val="32"/>
          <w:szCs w:val="32"/>
        </w:rPr>
        <w:t>202</w:t>
      </w:r>
      <w:r>
        <w:rPr>
          <w:rFonts w:hint="eastAsia" w:ascii="仿宋_GB2312" w:hAnsi="仿宋" w:eastAsia="仿宋_GB2312" w:cs="宋体"/>
          <w:sz w:val="32"/>
          <w:szCs w:val="32"/>
        </w:rPr>
        <w:t>2年以来连续两年排名靠前的其他电子商务产业基地，增补为示范基地。同时，反馈综合</w:t>
      </w:r>
      <w:r>
        <w:rPr>
          <w:rFonts w:ascii="仿宋_GB2312" w:hAnsi="仿宋" w:eastAsia="仿宋_GB2312" w:cs="宋体"/>
          <w:sz w:val="32"/>
          <w:szCs w:val="32"/>
        </w:rPr>
        <w:t>评价结果和</w:t>
      </w:r>
      <w:r>
        <w:rPr>
          <w:rFonts w:hint="eastAsia" w:ascii="仿宋_GB2312" w:hAnsi="仿宋" w:eastAsia="仿宋_GB2312" w:cs="宋体"/>
          <w:sz w:val="32"/>
          <w:szCs w:val="32"/>
        </w:rPr>
        <w:t>专家点评意见，作为各地指导开展示范基地创建工作的重要依据。</w:t>
      </w:r>
    </w:p>
    <w:p>
      <w:pPr>
        <w:spacing w:after="0" w:line="240" w:lineRule="auto"/>
        <w:ind w:firstLine="640" w:firstLineChars="200"/>
        <w:jc w:val="both"/>
        <w:rPr>
          <w:rFonts w:ascii="黑体" w:hAnsi="黑体" w:eastAsia="黑体" w:cs="宋体"/>
          <w:sz w:val="32"/>
          <w:szCs w:val="32"/>
        </w:rPr>
      </w:pPr>
      <w:r>
        <w:rPr>
          <w:rFonts w:hint="eastAsia" w:ascii="黑体" w:hAnsi="黑体" w:eastAsia="黑体" w:cs="宋体"/>
          <w:sz w:val="32"/>
          <w:szCs w:val="32"/>
        </w:rPr>
        <w:t>二、</w:t>
      </w:r>
      <w:r>
        <w:rPr>
          <w:rFonts w:hint="eastAsia" w:ascii="黑体" w:hAnsi="黑体" w:eastAsia="黑体" w:cs="宋体"/>
          <w:bCs/>
          <w:sz w:val="32"/>
          <w:szCs w:val="32"/>
        </w:rPr>
        <w:t>工作程序及</w:t>
      </w:r>
      <w:r>
        <w:rPr>
          <w:rFonts w:hint="eastAsia" w:ascii="黑体" w:hAnsi="黑体" w:eastAsia="黑体" w:cs="宋体"/>
          <w:sz w:val="32"/>
          <w:szCs w:val="32"/>
        </w:rPr>
        <w:t>进度</w:t>
      </w:r>
      <w:r>
        <w:rPr>
          <w:rFonts w:hint="eastAsia" w:ascii="黑体" w:hAnsi="黑体" w:eastAsia="黑体" w:cs="宋体"/>
          <w:bCs/>
          <w:sz w:val="32"/>
          <w:szCs w:val="32"/>
        </w:rPr>
        <w:t>安排</w:t>
      </w:r>
    </w:p>
    <w:p>
      <w:pPr>
        <w:spacing w:after="0" w:line="240" w:lineRule="auto"/>
        <w:ind w:firstLine="643" w:firstLineChars="200"/>
        <w:jc w:val="both"/>
        <w:rPr>
          <w:rFonts w:ascii="仿宋_GB2312" w:hAnsi="仿宋_GB2312" w:eastAsia="仿宋_GB2312" w:cs="仿宋_GB2312"/>
          <w:color w:val="auto"/>
          <w:sz w:val="32"/>
          <w:szCs w:val="32"/>
        </w:rPr>
      </w:pPr>
      <w:r>
        <w:rPr>
          <w:rFonts w:hint="eastAsia" w:ascii="楷体_GB2312" w:hAnsi="楷体" w:eastAsia="楷体_GB2312" w:cs="宋体"/>
          <w:b/>
          <w:bCs/>
          <w:sz w:val="32"/>
          <w:szCs w:val="32"/>
        </w:rPr>
        <w:t>（一）材料</w:t>
      </w:r>
      <w:r>
        <w:rPr>
          <w:rFonts w:hint="eastAsia" w:ascii="楷体_GB2312" w:hAnsi="楷体" w:eastAsia="楷体_GB2312" w:cs="宋体"/>
          <w:b/>
          <w:bCs/>
          <w:sz w:val="32"/>
          <w:szCs w:val="32"/>
          <w:lang w:eastAsia="zh-CN"/>
        </w:rPr>
        <w:t>（数据）</w:t>
      </w:r>
      <w:r>
        <w:rPr>
          <w:rFonts w:hint="eastAsia" w:ascii="楷体_GB2312" w:hAnsi="楷体" w:eastAsia="楷体_GB2312" w:cs="宋体"/>
          <w:b/>
          <w:bCs/>
          <w:sz w:val="32"/>
          <w:szCs w:val="32"/>
        </w:rPr>
        <w:t>报送。</w:t>
      </w:r>
      <w:r>
        <w:rPr>
          <w:rFonts w:hint="eastAsia" w:ascii="仿宋_GB2312" w:hAnsi="仿宋_GB2312" w:eastAsia="仿宋_GB2312" w:cs="仿宋_GB2312"/>
          <w:bCs/>
          <w:sz w:val="32"/>
          <w:szCs w:val="32"/>
        </w:rPr>
        <w:t>各省级商务主管部门及时组织示范基地和推荐参评</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其他电子商务产业基地认真准备</w:t>
      </w:r>
      <w:r>
        <w:rPr>
          <w:rFonts w:ascii="仿宋_GB2312" w:hAnsi="仿宋_GB2312" w:eastAsia="仿宋_GB2312" w:cs="仿宋_GB2312"/>
          <w:bCs/>
          <w:sz w:val="32"/>
          <w:szCs w:val="32"/>
        </w:rPr>
        <w:t>材料，</w:t>
      </w:r>
      <w:r>
        <w:rPr>
          <w:rFonts w:hint="eastAsia" w:ascii="仿宋_GB2312" w:hAnsi="仿宋_GB2312" w:eastAsia="仿宋_GB2312" w:cs="仿宋_GB2312"/>
          <w:bCs/>
          <w:sz w:val="32"/>
          <w:szCs w:val="32"/>
        </w:rPr>
        <w:t>指导参评对象做好相关</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eastAsia="zh-CN"/>
        </w:rPr>
        <w:t>和材料（数据）的报送</w:t>
      </w:r>
      <w:r>
        <w:rPr>
          <w:rFonts w:hint="eastAsia" w:ascii="仿宋_GB2312" w:hAnsi="仿宋_GB2312" w:eastAsia="仿宋_GB2312" w:cs="仿宋_GB2312"/>
          <w:sz w:val="32"/>
          <w:szCs w:val="32"/>
        </w:rPr>
        <w:t>工作（自评报告不超过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万字）。参评</w:t>
      </w:r>
      <w:r>
        <w:rPr>
          <w:rFonts w:ascii="仿宋_GB2312" w:hAnsi="仿宋_GB2312" w:eastAsia="仿宋_GB2312" w:cs="仿宋_GB2312"/>
          <w:sz w:val="32"/>
          <w:szCs w:val="32"/>
        </w:rPr>
        <w:t>对象应</w:t>
      </w:r>
      <w:r>
        <w:rPr>
          <w:rFonts w:hint="eastAsia" w:ascii="仿宋_GB2312" w:hAnsi="仿宋_GB2312" w:eastAsia="仿宋_GB2312" w:cs="仿宋_GB2312"/>
          <w:sz w:val="32"/>
          <w:szCs w:val="32"/>
        </w:rPr>
        <w:t>于2023年6月30日前通过商务部业务系统统一平台</w:t>
      </w:r>
      <w:r>
        <w:rPr>
          <w:rFonts w:hint="eastAsia" w:ascii="仿宋_GB2312" w:hAnsi="仿宋_GB2312" w:eastAsia="仿宋_GB2312" w:cs="仿宋_GB2312"/>
          <w:sz w:val="32"/>
          <w:szCs w:val="32"/>
          <w:lang w:eastAsia="zh-CN"/>
        </w:rPr>
        <w:t>（以下简称“统一平台”）</w:t>
      </w:r>
      <w:r>
        <w:rPr>
          <w:rFonts w:hint="eastAsia" w:ascii="仿宋_GB2312" w:hAnsi="仿宋_GB2312" w:eastAsia="仿宋_GB2312" w:cs="仿宋_GB2312"/>
          <w:sz w:val="32"/>
          <w:szCs w:val="32"/>
        </w:rPr>
        <w:t>中的“电子商务信息管理分析应用”完成报送（</w:t>
      </w:r>
      <w:r>
        <w:rPr>
          <w:rFonts w:hint="eastAsia" w:ascii="仿宋_GB2312" w:hAnsi="仿宋_GB2312" w:eastAsia="仿宋_GB2312" w:cs="仿宋_GB2312"/>
          <w:sz w:val="32"/>
          <w:szCs w:val="32"/>
          <w:lang w:eastAsia="zh-CN"/>
        </w:rPr>
        <w:t>示范基地和已有账号的其他电子商务产业基地</w:t>
      </w:r>
      <w:r>
        <w:rPr>
          <w:rFonts w:hint="eastAsia" w:ascii="仿宋_GB2312" w:hAnsi="仿宋_GB2312" w:eastAsia="仿宋_GB2312" w:cs="仿宋_GB2312"/>
          <w:sz w:val="32"/>
          <w:szCs w:val="32"/>
        </w:rPr>
        <w:t>点击</w:t>
      </w:r>
      <w:r>
        <w:rPr>
          <w:rStyle w:val="22"/>
          <w:rFonts w:ascii="仿宋_GB2312" w:hAnsi="仿宋_GB2312" w:eastAsia="仿宋_GB2312" w:cs="仿宋_GB2312"/>
          <w:b/>
          <w:bCs/>
          <w:color w:val="auto"/>
          <w:sz w:val="21"/>
          <w:szCs w:val="21"/>
          <w:u w:val="none"/>
        </w:rPr>
        <w:fldChar w:fldCharType="begin"/>
      </w:r>
      <w:r>
        <w:rPr>
          <w:rFonts w:ascii="仿宋_GB2312" w:hAnsi="仿宋_GB2312" w:eastAsia="仿宋_GB2312" w:cs="仿宋_GB2312"/>
          <w:b/>
          <w:bCs/>
          <w:sz w:val="21"/>
          <w:szCs w:val="21"/>
        </w:rPr>
        <w:instrText xml:space="preserve"> HYPERLINK "http://www.mofcom.gov.cn/mofcom/typt.shtml" </w:instrText>
      </w:r>
      <w:r>
        <w:rPr>
          <w:rStyle w:val="22"/>
          <w:rFonts w:ascii="仿宋_GB2312" w:hAnsi="仿宋_GB2312" w:eastAsia="仿宋_GB2312" w:cs="仿宋_GB2312"/>
          <w:b/>
          <w:bCs/>
          <w:color w:val="auto"/>
          <w:sz w:val="21"/>
          <w:szCs w:val="21"/>
          <w:u w:val="none"/>
        </w:rPr>
        <w:fldChar w:fldCharType="separate"/>
      </w:r>
      <w:r>
        <w:rPr>
          <w:rStyle w:val="25"/>
          <w:rFonts w:ascii="仿宋_GB2312" w:hAnsi="仿宋_GB2312" w:eastAsia="仿宋_GB2312" w:cs="仿宋_GB2312"/>
          <w:b/>
          <w:bCs/>
          <w:color w:val="auto"/>
          <w:sz w:val="21"/>
          <w:szCs w:val="21"/>
          <w:u w:val="none"/>
        </w:rPr>
        <w:t>http://www.mofcom.gov.cn/mofcom/typt.shtml</w:t>
      </w:r>
      <w:r>
        <w:rPr>
          <w:rStyle w:val="25"/>
          <w:rFonts w:ascii="仿宋_GB2312" w:hAnsi="仿宋_GB2312" w:eastAsia="仿宋_GB2312" w:cs="仿宋_GB2312"/>
          <w:b/>
          <w:bCs/>
          <w:color w:val="auto"/>
          <w:sz w:val="21"/>
          <w:szCs w:val="21"/>
          <w:u w:val="none"/>
        </w:rPr>
        <w:fldChar w:fldCharType="end"/>
      </w:r>
      <w:r>
        <w:rPr>
          <w:rFonts w:hint="eastAsia" w:ascii="仿宋_GB2312" w:hAnsi="仿宋_GB2312" w:eastAsia="仿宋_GB2312" w:cs="仿宋_GB2312"/>
          <w:sz w:val="32"/>
          <w:szCs w:val="32"/>
        </w:rPr>
        <w:t>进入统一平台，</w:t>
      </w:r>
      <w:r>
        <w:rPr>
          <w:rFonts w:hint="eastAsia" w:ascii="仿宋_GB2312" w:hAnsi="仿宋_GB2312" w:eastAsia="仿宋_GB2312" w:cs="仿宋_GB2312"/>
          <w:sz w:val="32"/>
          <w:szCs w:val="32"/>
          <w:lang w:eastAsia="zh-CN"/>
        </w:rPr>
        <w:t>从企业端登录后报送；</w:t>
      </w:r>
      <w:r>
        <w:rPr>
          <w:rStyle w:val="25"/>
          <w:rFonts w:hint="eastAsia" w:ascii="仿宋_GB2312" w:hAnsi="仿宋_GB2312" w:eastAsia="仿宋_GB2312" w:cs="仿宋_GB2312"/>
          <w:color w:val="auto"/>
          <w:sz w:val="32"/>
          <w:szCs w:val="32"/>
          <w:u w:val="none"/>
        </w:rPr>
        <w:t>首次</w:t>
      </w:r>
      <w:r>
        <w:rPr>
          <w:rStyle w:val="25"/>
          <w:rFonts w:ascii="仿宋_GB2312" w:hAnsi="仿宋_GB2312" w:eastAsia="仿宋_GB2312" w:cs="仿宋_GB2312"/>
          <w:color w:val="auto"/>
          <w:sz w:val="32"/>
          <w:szCs w:val="32"/>
          <w:u w:val="none"/>
        </w:rPr>
        <w:t>参评</w:t>
      </w:r>
      <w:r>
        <w:rPr>
          <w:rStyle w:val="25"/>
          <w:rFonts w:hint="eastAsia" w:ascii="仿宋_GB2312" w:hAnsi="仿宋_GB2312" w:eastAsia="仿宋_GB2312" w:cs="仿宋_GB2312"/>
          <w:color w:val="auto"/>
          <w:sz w:val="32"/>
          <w:szCs w:val="32"/>
          <w:u w:val="none"/>
        </w:rPr>
        <w:t>产业基地通过</w:t>
      </w:r>
      <w:r>
        <w:rPr>
          <w:rStyle w:val="25"/>
          <w:rFonts w:ascii="仿宋_GB2312" w:hAnsi="仿宋_GB2312" w:eastAsia="仿宋_GB2312" w:cs="仿宋_GB2312"/>
          <w:b/>
          <w:bCs/>
          <w:color w:val="auto"/>
          <w:sz w:val="21"/>
          <w:szCs w:val="21"/>
          <w:u w:val="none"/>
        </w:rPr>
        <w:t>http://dzsw.mofcom.gov.cn/baseInfo/toSignup</w:t>
      </w:r>
      <w:r>
        <w:rPr>
          <w:rStyle w:val="25"/>
          <w:rFonts w:hint="eastAsia" w:ascii="仿宋_GB2312" w:hAnsi="仿宋_GB2312" w:eastAsia="仿宋_GB2312" w:cs="仿宋_GB2312"/>
          <w:color w:val="auto"/>
          <w:sz w:val="32"/>
          <w:szCs w:val="32"/>
          <w:u w:val="none"/>
        </w:rPr>
        <w:t>先注册账号</w:t>
      </w:r>
      <w:r>
        <w:rPr>
          <w:rStyle w:val="25"/>
          <w:rFonts w:hint="eastAsia" w:ascii="仿宋_GB2312" w:hAnsi="仿宋_GB2312" w:eastAsia="仿宋_GB2312" w:cs="仿宋_GB2312"/>
          <w:color w:val="auto"/>
          <w:sz w:val="32"/>
          <w:szCs w:val="32"/>
          <w:u w:val="none"/>
          <w:lang w:eastAsia="zh-CN"/>
        </w:rPr>
        <w:t>，</w:t>
      </w:r>
      <w:r>
        <w:rPr>
          <w:rStyle w:val="25"/>
          <w:rFonts w:hint="eastAsia" w:ascii="仿宋_GB2312" w:hAnsi="仿宋_GB2312" w:eastAsia="仿宋_GB2312" w:cs="仿宋_GB2312"/>
          <w:color w:val="auto"/>
          <w:sz w:val="32"/>
          <w:szCs w:val="32"/>
          <w:u w:val="none"/>
        </w:rPr>
        <w:t>经所属省级商务主管部门审批后再登录</w:t>
      </w:r>
      <w:r>
        <w:rPr>
          <w:rStyle w:val="25"/>
          <w:rFonts w:hint="eastAsia" w:ascii="仿宋_GB2312" w:hAnsi="仿宋_GB2312" w:eastAsia="仿宋_GB2312" w:cs="仿宋_GB2312"/>
          <w:color w:val="auto"/>
          <w:sz w:val="32"/>
          <w:szCs w:val="32"/>
          <w:u w:val="none"/>
          <w:lang w:eastAsia="zh-CN"/>
        </w:rPr>
        <w:t>统一平台进行报送），并经所属省级商务主管部门审核（通过统一平台的管理端使用</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DS+原账号”及密码登录</w:t>
      </w:r>
      <w:r>
        <w:rPr>
          <w:rFonts w:hint="eastAsia" w:ascii="仿宋_GB2312" w:hAnsi="仿宋_GB2312" w:eastAsia="仿宋_GB2312" w:cs="仿宋_GB2312"/>
          <w:color w:val="auto"/>
          <w:sz w:val="32"/>
          <w:szCs w:val="32"/>
          <w:lang w:eastAsia="zh-CN"/>
        </w:rPr>
        <w:t>）确认。省级商务主管部门汇总参评对象纸质报送材料（数据）</w:t>
      </w:r>
      <w:r>
        <w:rPr>
          <w:rFonts w:hint="eastAsia" w:ascii="仿宋_GB2312" w:hAnsi="仿宋_GB2312" w:eastAsia="仿宋_GB2312" w:cs="仿宋_GB2312"/>
          <w:color w:val="auto"/>
          <w:sz w:val="32"/>
          <w:szCs w:val="32"/>
          <w:lang w:val="en-US" w:eastAsia="zh-CN"/>
        </w:rPr>
        <w:t>1份（包括参评对象名单，并在相关表格处加盖公章），并统一邮寄至商务部</w:t>
      </w:r>
      <w:r>
        <w:rPr>
          <w:rFonts w:ascii="仿宋_GB2312" w:hAnsi="仿宋_GB2312" w:eastAsia="仿宋_GB2312" w:cs="仿宋_GB2312"/>
          <w:color w:val="auto"/>
          <w:sz w:val="32"/>
          <w:szCs w:val="32"/>
        </w:rPr>
        <w:t>（地址：北京市东长安街2号商务部电子商务司,邮编:100731）。</w:t>
      </w:r>
    </w:p>
    <w:p>
      <w:pPr>
        <w:spacing w:after="0" w:line="240" w:lineRule="auto"/>
        <w:ind w:firstLine="636"/>
        <w:jc w:val="both"/>
        <w:rPr>
          <w:rFonts w:ascii="仿宋_GB2312" w:hAnsi="仿宋" w:eastAsia="仿宋_GB2312" w:cs="宋体"/>
          <w:color w:val="FF0000"/>
          <w:sz w:val="32"/>
          <w:szCs w:val="32"/>
        </w:rPr>
      </w:pPr>
      <w:r>
        <w:rPr>
          <w:rFonts w:hint="eastAsia" w:ascii="楷体_GB2312" w:hAnsi="楷体" w:eastAsia="楷体_GB2312" w:cs="宋体"/>
          <w:b/>
          <w:bCs/>
          <w:sz w:val="32"/>
          <w:szCs w:val="32"/>
        </w:rPr>
        <w:t>（二）专家评估。</w:t>
      </w:r>
      <w:r>
        <w:rPr>
          <w:rFonts w:ascii="仿宋_GB2312" w:hAnsi="仿宋" w:eastAsia="仿宋_GB2312" w:cs="宋体"/>
          <w:sz w:val="32"/>
          <w:szCs w:val="32"/>
        </w:rPr>
        <w:t>202</w:t>
      </w:r>
      <w:r>
        <w:rPr>
          <w:rFonts w:hint="eastAsia" w:ascii="仿宋_GB2312" w:hAnsi="仿宋" w:eastAsia="仿宋_GB2312" w:cs="宋体"/>
          <w:sz w:val="32"/>
          <w:szCs w:val="32"/>
        </w:rPr>
        <w:t>3年</w:t>
      </w:r>
      <w:r>
        <w:rPr>
          <w:rFonts w:ascii="仿宋_GB2312" w:hAnsi="仿宋" w:eastAsia="仿宋_GB2312" w:cs="宋体"/>
          <w:sz w:val="32"/>
          <w:szCs w:val="32"/>
        </w:rPr>
        <w:t>7月</w:t>
      </w:r>
      <w:r>
        <w:rPr>
          <w:rFonts w:hint="eastAsia" w:ascii="仿宋_GB2312" w:hAnsi="仿宋" w:eastAsia="仿宋_GB2312" w:cs="宋体"/>
          <w:sz w:val="32"/>
          <w:szCs w:val="32"/>
        </w:rPr>
        <w:t>中上旬，</w:t>
      </w:r>
      <w:r>
        <w:rPr>
          <w:rFonts w:hint="eastAsia" w:ascii="仿宋_GB2312" w:hAnsi="仿宋" w:eastAsia="仿宋_GB2312" w:cs="宋体"/>
          <w:sz w:val="32"/>
          <w:szCs w:val="32"/>
          <w:lang w:eastAsia="zh-CN"/>
        </w:rPr>
        <w:t>商务部</w:t>
      </w:r>
      <w:r>
        <w:rPr>
          <w:rFonts w:hint="eastAsia" w:ascii="仿宋_GB2312" w:hAnsi="仿宋" w:eastAsia="仿宋_GB2312" w:cs="宋体"/>
          <w:sz w:val="32"/>
          <w:szCs w:val="32"/>
        </w:rPr>
        <w:t>委托承办单位汇总、核对各地报送材料，并根据需要请</w:t>
      </w:r>
      <w:r>
        <w:rPr>
          <w:rFonts w:ascii="仿宋_GB2312" w:hAnsi="仿宋" w:eastAsia="仿宋_GB2312" w:cs="宋体"/>
          <w:sz w:val="32"/>
          <w:szCs w:val="32"/>
        </w:rPr>
        <w:t>有关</w:t>
      </w:r>
      <w:r>
        <w:rPr>
          <w:rFonts w:hint="eastAsia" w:ascii="仿宋_GB2312" w:hAnsi="仿宋" w:eastAsia="仿宋_GB2312" w:cs="宋体"/>
          <w:sz w:val="32"/>
          <w:szCs w:val="32"/>
        </w:rPr>
        <w:t>参评</w:t>
      </w:r>
      <w:r>
        <w:rPr>
          <w:rFonts w:ascii="仿宋_GB2312" w:hAnsi="仿宋" w:eastAsia="仿宋_GB2312" w:cs="宋体"/>
          <w:sz w:val="32"/>
          <w:szCs w:val="32"/>
        </w:rPr>
        <w:t>对象</w:t>
      </w:r>
      <w:r>
        <w:rPr>
          <w:rFonts w:hint="eastAsia" w:ascii="仿宋_GB2312" w:hAnsi="仿宋" w:eastAsia="仿宋_GB2312" w:cs="宋体"/>
          <w:sz w:val="32"/>
          <w:szCs w:val="32"/>
        </w:rPr>
        <w:t>予以补充完善。7月下旬，承办单位组织电子商务专家对参评对象进行综合评价，必要时，组织专家对有关基地进行现场调研、抽查和核实，形成综合评价</w:t>
      </w:r>
      <w:r>
        <w:rPr>
          <w:rFonts w:ascii="仿宋_GB2312" w:hAnsi="仿宋" w:eastAsia="仿宋_GB2312" w:cs="宋体"/>
          <w:sz w:val="32"/>
          <w:szCs w:val="32"/>
        </w:rPr>
        <w:t>结果</w:t>
      </w:r>
      <w:r>
        <w:rPr>
          <w:rFonts w:hint="eastAsia" w:ascii="仿宋_GB2312" w:hAnsi="仿宋" w:eastAsia="仿宋_GB2312" w:cs="宋体"/>
          <w:sz w:val="32"/>
          <w:szCs w:val="32"/>
        </w:rPr>
        <w:t>和</w:t>
      </w:r>
      <w:r>
        <w:rPr>
          <w:rFonts w:ascii="仿宋_GB2312" w:hAnsi="仿宋" w:eastAsia="仿宋_GB2312" w:cs="宋体"/>
          <w:sz w:val="32"/>
          <w:szCs w:val="32"/>
        </w:rPr>
        <w:t>评价意见，</w:t>
      </w:r>
      <w:r>
        <w:rPr>
          <w:rFonts w:hint="eastAsia" w:ascii="仿宋_GB2312" w:hAnsi="仿宋" w:eastAsia="仿宋_GB2312" w:cs="宋体"/>
          <w:sz w:val="32"/>
          <w:szCs w:val="32"/>
        </w:rPr>
        <w:t>并据此提出调整示范基地建议名单。</w:t>
      </w:r>
    </w:p>
    <w:p>
      <w:pPr>
        <w:spacing w:after="0" w:line="240" w:lineRule="auto"/>
        <w:ind w:firstLine="636"/>
        <w:jc w:val="both"/>
        <w:rPr>
          <w:rFonts w:ascii="仿宋" w:hAnsi="仿宋" w:eastAsia="仿宋" w:cs="宋体"/>
          <w:sz w:val="32"/>
          <w:szCs w:val="32"/>
        </w:rPr>
      </w:pPr>
      <w:r>
        <w:rPr>
          <w:rFonts w:hint="eastAsia" w:ascii="楷体_GB2312" w:hAnsi="楷体" w:eastAsia="楷体_GB2312" w:cs="宋体"/>
          <w:b/>
          <w:sz w:val="32"/>
          <w:szCs w:val="32"/>
        </w:rPr>
        <w:t>（三）结果公示。</w:t>
      </w:r>
      <w:r>
        <w:rPr>
          <w:rFonts w:hint="eastAsia" w:ascii="仿宋_GB2312" w:hAnsi="仿宋" w:eastAsia="仿宋_GB2312" w:cs="宋体"/>
          <w:sz w:val="32"/>
          <w:szCs w:val="32"/>
        </w:rPr>
        <w:t>将拟调整的示范基地名单在商务部网站进行公示（公示期为5个工作日），任何单位和个人对名单有不同意见的，均可提出异议，由</w:t>
      </w:r>
      <w:r>
        <w:rPr>
          <w:rFonts w:hint="eastAsia" w:ascii="仿宋_GB2312" w:hAnsi="仿宋" w:eastAsia="仿宋_GB2312" w:cs="宋体"/>
          <w:sz w:val="32"/>
          <w:szCs w:val="32"/>
          <w:lang w:eastAsia="zh-CN"/>
        </w:rPr>
        <w:t>商务部</w:t>
      </w:r>
      <w:r>
        <w:rPr>
          <w:rFonts w:hint="eastAsia" w:ascii="仿宋_GB2312" w:hAnsi="仿宋" w:eastAsia="仿宋_GB2312" w:cs="宋体"/>
          <w:sz w:val="32"/>
          <w:szCs w:val="32"/>
        </w:rPr>
        <w:t>组织专家进行复议。</w:t>
      </w:r>
    </w:p>
    <w:p>
      <w:pPr>
        <w:spacing w:after="0" w:line="240" w:lineRule="auto"/>
        <w:ind w:firstLine="643" w:firstLineChars="200"/>
        <w:jc w:val="both"/>
        <w:rPr>
          <w:rFonts w:ascii="仿宋_GB2312" w:hAnsi="楷体" w:eastAsia="仿宋_GB2312" w:cs="宋体"/>
          <w:b/>
          <w:sz w:val="32"/>
          <w:szCs w:val="32"/>
        </w:rPr>
      </w:pPr>
      <w:r>
        <w:rPr>
          <w:rFonts w:hint="eastAsia" w:ascii="楷体_GB2312" w:hAnsi="楷体" w:eastAsia="楷体_GB2312" w:cs="宋体"/>
          <w:b/>
          <w:sz w:val="32"/>
          <w:szCs w:val="32"/>
        </w:rPr>
        <w:t>（四）公布名单。</w:t>
      </w:r>
      <w:r>
        <w:rPr>
          <w:rFonts w:hint="eastAsia" w:ascii="仿宋_GB2312" w:hAnsi="仿宋" w:eastAsia="仿宋_GB2312" w:cs="宋体"/>
          <w:sz w:val="32"/>
          <w:szCs w:val="32"/>
        </w:rPr>
        <w:t>调整后的示范基地名单以商务部名义下发通知予以公布，同时对综合评价成绩突出的示范基地予以表扬。</w:t>
      </w:r>
    </w:p>
    <w:p>
      <w:pPr>
        <w:spacing w:after="0" w:line="240" w:lineRule="auto"/>
        <w:ind w:firstLine="640" w:firstLineChars="200"/>
        <w:jc w:val="both"/>
        <w:rPr>
          <w:rFonts w:ascii="黑体" w:hAnsi="黑体" w:eastAsia="黑体" w:cs="宋体"/>
          <w:sz w:val="32"/>
          <w:szCs w:val="32"/>
        </w:rPr>
      </w:pPr>
      <w:r>
        <w:rPr>
          <w:rFonts w:hint="eastAsia" w:ascii="黑体" w:hAnsi="黑体" w:eastAsia="黑体" w:cs="宋体"/>
          <w:sz w:val="32"/>
          <w:szCs w:val="32"/>
        </w:rPr>
        <w:t>三</w:t>
      </w:r>
      <w:r>
        <w:rPr>
          <w:rFonts w:hint="eastAsia" w:ascii="黑体" w:hAnsi="黑体" w:eastAsia="黑体" w:cs="宋体"/>
          <w:b w:val="0"/>
          <w:bCs w:val="0"/>
          <w:sz w:val="32"/>
          <w:szCs w:val="32"/>
        </w:rPr>
        <w:t>、工作要求</w:t>
      </w:r>
    </w:p>
    <w:p>
      <w:pPr>
        <w:spacing w:after="0" w:line="240" w:lineRule="auto"/>
        <w:jc w:val="both"/>
        <w:rPr>
          <w:rFonts w:ascii="仿宋_GB2312" w:hAnsi="仿宋" w:eastAsia="仿宋_GB2312" w:cs="宋体"/>
          <w:sz w:val="32"/>
          <w:szCs w:val="32"/>
        </w:rPr>
      </w:pPr>
      <w:r>
        <w:rPr>
          <w:rFonts w:ascii="楷体" w:hAnsi="楷体" w:eastAsia="楷体" w:cs="宋体"/>
          <w:b/>
          <w:bCs/>
          <w:sz w:val="32"/>
          <w:szCs w:val="32"/>
        </w:rPr>
        <w:t xml:space="preserve">    </w:t>
      </w:r>
      <w:r>
        <w:rPr>
          <w:rFonts w:hint="eastAsia" w:ascii="楷体" w:hAnsi="楷体" w:eastAsia="楷体" w:cs="宋体"/>
          <w:b/>
          <w:bCs/>
          <w:sz w:val="32"/>
          <w:szCs w:val="32"/>
          <w:lang w:eastAsia="zh-CN"/>
        </w:rPr>
        <w:t>（</w:t>
      </w:r>
      <w:r>
        <w:rPr>
          <w:rFonts w:hint="eastAsia" w:ascii="楷体" w:hAnsi="楷体" w:eastAsia="楷体" w:cs="宋体"/>
          <w:b/>
          <w:bCs/>
          <w:sz w:val="32"/>
          <w:szCs w:val="32"/>
        </w:rPr>
        <w:t>一</w:t>
      </w:r>
      <w:r>
        <w:rPr>
          <w:rFonts w:hint="eastAsia" w:ascii="楷体" w:hAnsi="楷体" w:eastAsia="楷体" w:cs="宋体"/>
          <w:b/>
          <w:bCs/>
          <w:sz w:val="32"/>
          <w:szCs w:val="32"/>
          <w:lang w:eastAsia="zh-CN"/>
        </w:rPr>
        <w:t>）</w:t>
      </w:r>
      <w:r>
        <w:rPr>
          <w:rFonts w:ascii="华文楷体" w:hAnsi="华文楷体" w:eastAsia="华文楷体" w:cs="华文楷体"/>
          <w:b/>
          <w:bCs/>
          <w:sz w:val="32"/>
          <w:szCs w:val="32"/>
          <w:lang w:bidi="ar"/>
        </w:rPr>
        <w:t>高度重视</w:t>
      </w:r>
      <w:r>
        <w:rPr>
          <w:rFonts w:hint="eastAsia" w:ascii="华文楷体" w:hAnsi="华文楷体" w:eastAsia="华文楷体" w:cs="华文楷体"/>
          <w:b/>
          <w:bCs/>
          <w:sz w:val="32"/>
          <w:szCs w:val="32"/>
          <w:lang w:bidi="ar"/>
        </w:rPr>
        <w:t>。</w:t>
      </w:r>
      <w:r>
        <w:rPr>
          <w:rFonts w:hint="eastAsia" w:ascii="仿宋_GB2312" w:hAnsi="仿宋" w:eastAsia="仿宋_GB2312" w:cs="宋体"/>
          <w:sz w:val="32"/>
          <w:szCs w:val="32"/>
        </w:rPr>
        <w:t>各地商务主管部门要将示范基地创建作为促进电子商务创新发展的重要抓手，切实加强组织领导，分工专人负责，完善</w:t>
      </w:r>
      <w:r>
        <w:rPr>
          <w:rStyle w:val="24"/>
          <w:rFonts w:ascii="仿宋_GB2312" w:hAnsi="仿宋_GB2312" w:eastAsia="仿宋_GB2312" w:cs="仿宋_GB2312"/>
          <w:i w:val="0"/>
          <w:iCs w:val="0"/>
          <w:sz w:val="32"/>
          <w:szCs w:val="32"/>
          <w:lang w:bidi="ar"/>
        </w:rPr>
        <w:t>联络机制</w:t>
      </w:r>
      <w:r>
        <w:rPr>
          <w:rStyle w:val="24"/>
          <w:rFonts w:hint="eastAsia" w:ascii="仿宋_GB2312" w:hAnsi="仿宋_GB2312" w:eastAsia="仿宋_GB2312" w:cs="仿宋_GB2312"/>
          <w:i w:val="0"/>
          <w:iCs w:val="0"/>
          <w:sz w:val="32"/>
          <w:szCs w:val="32"/>
          <w:lang w:bidi="ar"/>
        </w:rPr>
        <w:t>，加大支持力度，</w:t>
      </w:r>
      <w:r>
        <w:rPr>
          <w:rFonts w:hint="eastAsia" w:ascii="仿宋_GB2312" w:hAnsi="仿宋" w:eastAsia="仿宋_GB2312" w:cs="宋体"/>
          <w:sz w:val="32"/>
          <w:szCs w:val="32"/>
        </w:rPr>
        <w:t>做到融入日常、抓在经常，上下联动、务求实效。</w:t>
      </w:r>
    </w:p>
    <w:p>
      <w:pPr>
        <w:spacing w:after="0" w:line="240" w:lineRule="auto"/>
        <w:jc w:val="both"/>
        <w:rPr>
          <w:rFonts w:ascii="仿宋_GB2312" w:hAnsi="仿宋_GB2312" w:eastAsia="仿宋_GB2312" w:cs="仿宋_GB2312"/>
          <w:sz w:val="32"/>
          <w:szCs w:val="32"/>
        </w:rPr>
      </w:pPr>
      <w:r>
        <w:rPr>
          <w:rFonts w:hint="eastAsia" w:ascii="楷体" w:hAnsi="楷体" w:eastAsia="楷体" w:cs="宋体"/>
          <w:b/>
          <w:bCs/>
          <w:sz w:val="32"/>
          <w:szCs w:val="32"/>
        </w:rPr>
        <w:t xml:space="preserve">    </w:t>
      </w:r>
      <w:r>
        <w:rPr>
          <w:rFonts w:hint="eastAsia" w:ascii="楷体" w:hAnsi="楷体" w:eastAsia="楷体" w:cs="宋体"/>
          <w:b/>
          <w:bCs/>
          <w:sz w:val="32"/>
          <w:szCs w:val="32"/>
          <w:lang w:eastAsia="zh-CN"/>
        </w:rPr>
        <w:t>（</w:t>
      </w:r>
      <w:r>
        <w:rPr>
          <w:rFonts w:hint="eastAsia" w:ascii="楷体" w:hAnsi="楷体" w:eastAsia="楷体" w:cs="宋体"/>
          <w:b/>
          <w:bCs/>
          <w:sz w:val="32"/>
          <w:szCs w:val="32"/>
        </w:rPr>
        <w:t>二</w:t>
      </w:r>
      <w:r>
        <w:rPr>
          <w:rFonts w:hint="eastAsia" w:ascii="楷体" w:hAnsi="楷体" w:eastAsia="楷体" w:cs="宋体"/>
          <w:b/>
          <w:bCs/>
          <w:sz w:val="32"/>
          <w:szCs w:val="32"/>
          <w:lang w:eastAsia="zh-CN"/>
        </w:rPr>
        <w:t>）</w:t>
      </w:r>
      <w:r>
        <w:rPr>
          <w:rFonts w:hint="eastAsia" w:ascii="楷体_GB2312" w:hAnsi="楷体" w:eastAsia="楷体_GB2312" w:cs="宋体"/>
          <w:b/>
          <w:bCs/>
          <w:sz w:val="32"/>
          <w:szCs w:val="32"/>
        </w:rPr>
        <w:t>严格把关。</w:t>
      </w:r>
      <w:r>
        <w:rPr>
          <w:rFonts w:hint="eastAsia" w:ascii="仿宋_GB2312" w:hAnsi="仿宋" w:eastAsia="仿宋_GB2312" w:cs="宋体"/>
          <w:sz w:val="32"/>
          <w:szCs w:val="32"/>
        </w:rPr>
        <w:t>各地商务主管部门要</w:t>
      </w:r>
      <w:r>
        <w:rPr>
          <w:rFonts w:hint="eastAsia" w:ascii="仿宋_GB2312" w:hAnsi="仿宋_GB2312" w:eastAsia="仿宋_GB2312" w:cs="仿宋_GB2312"/>
          <w:sz w:val="32"/>
          <w:szCs w:val="32"/>
        </w:rPr>
        <w:t>结合日常掌握情况和相关佐证材料，对参评基地报送数据、自评报告进行认真审核，杜绝错、忘、漏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lang w:eastAsia="zh-CN"/>
        </w:rPr>
        <w:t>不一致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提供不实信息等情况</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发生。</w:t>
      </w:r>
    </w:p>
    <w:p>
      <w:pPr>
        <w:spacing w:after="0" w:line="240" w:lineRule="auto"/>
        <w:ind w:firstLine="643" w:firstLineChars="200"/>
        <w:jc w:val="both"/>
        <w:rPr>
          <w:rFonts w:ascii="仿宋_GB2312" w:hAnsi="仿宋" w:eastAsia="仿宋_GB2312" w:cs="宋体"/>
          <w:sz w:val="32"/>
          <w:szCs w:val="32"/>
        </w:rPr>
      </w:pPr>
      <w:r>
        <w:rPr>
          <w:rFonts w:hint="eastAsia" w:ascii="楷体_GB2312" w:hAnsi="楷体" w:eastAsia="楷体_GB2312" w:cs="宋体"/>
          <w:b/>
          <w:bCs/>
          <w:sz w:val="32"/>
          <w:szCs w:val="32"/>
          <w:lang w:eastAsia="zh-CN"/>
        </w:rPr>
        <w:t>（</w:t>
      </w:r>
      <w:r>
        <w:rPr>
          <w:rFonts w:hint="eastAsia" w:ascii="楷体_GB2312" w:hAnsi="楷体" w:eastAsia="楷体_GB2312" w:cs="宋体"/>
          <w:b/>
          <w:bCs/>
          <w:sz w:val="32"/>
          <w:szCs w:val="32"/>
        </w:rPr>
        <w:t>三</w:t>
      </w:r>
      <w:r>
        <w:rPr>
          <w:rFonts w:hint="eastAsia" w:ascii="楷体_GB2312" w:hAnsi="楷体" w:eastAsia="楷体_GB2312" w:cs="宋体"/>
          <w:b/>
          <w:bCs/>
          <w:sz w:val="32"/>
          <w:szCs w:val="32"/>
          <w:lang w:eastAsia="zh-CN"/>
        </w:rPr>
        <w:t>）</w:t>
      </w:r>
      <w:r>
        <w:rPr>
          <w:rFonts w:hint="eastAsia" w:ascii="楷体_GB2312" w:hAnsi="楷体" w:eastAsia="楷体_GB2312" w:cs="宋体"/>
          <w:b/>
          <w:bCs/>
          <w:sz w:val="32"/>
          <w:szCs w:val="32"/>
        </w:rPr>
        <w:t>加强指导。</w:t>
      </w:r>
      <w:r>
        <w:rPr>
          <w:rFonts w:hint="eastAsia" w:ascii="仿宋_GB2312" w:hAnsi="仿宋_GB2312" w:eastAsia="仿宋_GB2312" w:cs="仿宋_GB2312"/>
          <w:sz w:val="32"/>
          <w:szCs w:val="32"/>
        </w:rPr>
        <w:t>各地商务主管部门要</w:t>
      </w:r>
      <w:r>
        <w:rPr>
          <w:rFonts w:hint="eastAsia" w:ascii="仿宋_GB2312" w:hAnsi="仿宋" w:eastAsia="仿宋_GB2312" w:cs="宋体"/>
          <w:bCs/>
          <w:sz w:val="32"/>
          <w:szCs w:val="32"/>
        </w:rPr>
        <w:t>对照综合评价结果，认真查找</w:t>
      </w:r>
      <w:r>
        <w:rPr>
          <w:rFonts w:hint="eastAsia" w:ascii="仿宋_GB2312" w:hAnsi="仿宋" w:eastAsia="仿宋_GB2312" w:cs="宋体"/>
          <w:sz w:val="32"/>
          <w:szCs w:val="32"/>
        </w:rPr>
        <w:t>基地建设中存在的突出问题和薄弱环节，对问题较多、排名靠后的基地，派出专人进行帮扶，及时掌握示范基地建设情况，有针对性地督促整改。要</w:t>
      </w:r>
      <w:r>
        <w:rPr>
          <w:rFonts w:hint="eastAsia" w:ascii="仿宋_GB2312" w:hAnsi="仿宋" w:eastAsia="仿宋_GB2312"/>
          <w:sz w:val="32"/>
          <w:szCs w:val="32"/>
        </w:rPr>
        <w:t>坚决贯彻中央支持民营企业、中小微企业发展重要工作部署，强化企业入驻示范基地办理程序监督，缩短办理时限，优化办理服务，规范办理行为，提高办理效率，</w:t>
      </w:r>
      <w:r>
        <w:rPr>
          <w:rFonts w:hint="eastAsia" w:ascii="仿宋_GB2312" w:hAnsi="仿宋" w:eastAsia="仿宋_GB2312" w:cs="宋体"/>
          <w:sz w:val="32"/>
          <w:szCs w:val="32"/>
        </w:rPr>
        <w:t>不断优化电子商务发展环境。</w:t>
      </w:r>
    </w:p>
    <w:p>
      <w:pPr>
        <w:spacing w:after="0" w:line="240" w:lineRule="auto"/>
        <w:ind w:firstLine="643" w:firstLineChars="200"/>
        <w:jc w:val="both"/>
        <w:rPr>
          <w:rFonts w:ascii="仿宋_GB2312" w:hAnsi="仿宋_GB2312" w:eastAsia="仿宋_GB2312" w:cs="仿宋_GB2312"/>
          <w:sz w:val="32"/>
          <w:szCs w:val="32"/>
        </w:rPr>
      </w:pPr>
      <w:r>
        <w:rPr>
          <w:rFonts w:hint="eastAsia" w:ascii="楷体_GB2312" w:hAnsi="楷体" w:eastAsia="楷体_GB2312" w:cs="宋体"/>
          <w:b/>
          <w:bCs/>
          <w:sz w:val="32"/>
          <w:szCs w:val="32"/>
          <w:lang w:eastAsia="zh-CN"/>
        </w:rPr>
        <w:t>（</w:t>
      </w:r>
      <w:r>
        <w:rPr>
          <w:rFonts w:hint="eastAsia" w:ascii="楷体_GB2312" w:hAnsi="楷体" w:eastAsia="楷体_GB2312" w:cs="宋体"/>
          <w:b/>
          <w:bCs/>
          <w:sz w:val="32"/>
          <w:szCs w:val="32"/>
        </w:rPr>
        <w:t>四</w:t>
      </w:r>
      <w:r>
        <w:rPr>
          <w:rFonts w:hint="eastAsia" w:ascii="楷体_GB2312" w:hAnsi="楷体" w:eastAsia="楷体_GB2312" w:cs="宋体"/>
          <w:b/>
          <w:bCs/>
          <w:sz w:val="32"/>
          <w:szCs w:val="32"/>
          <w:lang w:eastAsia="zh-CN"/>
        </w:rPr>
        <w:t>）</w:t>
      </w:r>
      <w:r>
        <w:rPr>
          <w:rFonts w:hint="eastAsia" w:ascii="楷体_GB2312" w:hAnsi="楷体" w:eastAsia="楷体_GB2312" w:cs="宋体"/>
          <w:b/>
          <w:bCs/>
          <w:sz w:val="32"/>
          <w:szCs w:val="32"/>
        </w:rPr>
        <w:t>及时总结。</w:t>
      </w:r>
      <w:r>
        <w:rPr>
          <w:rFonts w:hint="eastAsia" w:ascii="仿宋_GB2312" w:hAnsi="仿宋_GB2312" w:eastAsia="仿宋_GB2312" w:cs="仿宋_GB2312"/>
          <w:sz w:val="32"/>
          <w:szCs w:val="32"/>
        </w:rPr>
        <w:t>各地商务主管部门要认真总结示范基地创新发展先进经验，尤其是在加强基层党建、促进业态模式创新、推动传统产业数字化转型，为中小微企业办实事、解难题，以及促进消费提振、助力乡村振兴，自觉履行社会责任等</w:t>
      </w:r>
      <w:r>
        <w:rPr>
          <w:rFonts w:ascii="仿宋_GB2312" w:hAnsi="仿宋_GB2312" w:eastAsia="仿宋_GB2312" w:cs="仿宋_GB2312"/>
          <w:sz w:val="32"/>
          <w:szCs w:val="32"/>
        </w:rPr>
        <w:t>方面</w:t>
      </w:r>
      <w:r>
        <w:rPr>
          <w:rFonts w:hint="eastAsia" w:ascii="仿宋_GB2312" w:hAnsi="仿宋_GB2312" w:eastAsia="仿宋_GB2312" w:cs="仿宋_GB2312"/>
          <w:sz w:val="32"/>
          <w:szCs w:val="32"/>
        </w:rPr>
        <w:t>的典型案例。</w:t>
      </w:r>
      <w:r>
        <w:rPr>
          <w:rFonts w:hint="eastAsia" w:ascii="仿宋_GB2312" w:hAnsi="仿宋_GB2312" w:eastAsia="仿宋_GB2312" w:cs="仿宋_GB2312"/>
          <w:sz w:val="32"/>
          <w:szCs w:val="32"/>
          <w:lang w:eastAsia="zh-CN"/>
        </w:rPr>
        <w:t>商务部</w:t>
      </w:r>
      <w:r>
        <w:rPr>
          <w:rFonts w:hint="eastAsia" w:ascii="仿宋_GB2312" w:hAnsi="仿宋_GB2312" w:eastAsia="仿宋_GB2312" w:cs="仿宋_GB2312"/>
          <w:sz w:val="32"/>
          <w:szCs w:val="32"/>
        </w:rPr>
        <w:t>将通过多种方式对相关经验和做法进行宣传推广。</w:t>
      </w:r>
    </w:p>
    <w:p>
      <w:pPr>
        <w:spacing w:after="0" w:line="24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联系人：电子商务司</w:t>
      </w:r>
      <w:r>
        <w:rPr>
          <w:rFonts w:ascii="仿宋_GB2312" w:hAnsi="仿宋_GB2312" w:eastAsia="仿宋_GB2312" w:cs="仿宋_GB2312"/>
          <w:sz w:val="32"/>
          <w:szCs w:val="32"/>
        </w:rPr>
        <w:t xml:space="preserve">  孙国强 </w:t>
      </w:r>
    </w:p>
    <w:p>
      <w:pPr>
        <w:spacing w:after="0" w:line="24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ascii="仿宋_GB2312" w:hAnsi="仿宋_GB2312" w:eastAsia="仿宋_GB2312" w:cs="仿宋_GB2312"/>
          <w:sz w:val="32"/>
          <w:szCs w:val="32"/>
        </w:rPr>
        <w:t xml:space="preserve">  话：010-65198950 </w:t>
      </w:r>
    </w:p>
    <w:p>
      <w:pPr>
        <w:spacing w:after="0" w:line="24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传</w:t>
      </w:r>
      <w:r>
        <w:rPr>
          <w:rFonts w:ascii="仿宋_GB2312" w:hAnsi="仿宋_GB2312" w:eastAsia="仿宋_GB2312" w:cs="仿宋_GB2312"/>
          <w:sz w:val="32"/>
          <w:szCs w:val="32"/>
        </w:rPr>
        <w:t xml:space="preserve">  真：010-65197902 </w:t>
      </w:r>
    </w:p>
    <w:p>
      <w:pPr>
        <w:spacing w:after="0" w:line="24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箱：</w:t>
      </w:r>
      <w:r>
        <w:rPr>
          <w:rFonts w:hint="eastAsia" w:ascii="仿宋_GB2312" w:hAnsi="仿宋_GB2312" w:eastAsia="仿宋_GB2312" w:cs="仿宋_GB2312"/>
          <w:sz w:val="32"/>
          <w:szCs w:val="32"/>
          <w:lang w:val="en-US" w:eastAsia="zh-CN"/>
        </w:rPr>
        <w:t>yycjc</w:t>
      </w:r>
      <w:r>
        <w:rPr>
          <w:rFonts w:ascii="仿宋_GB2312" w:hAnsi="仿宋_GB2312" w:eastAsia="仿宋_GB2312" w:cs="仿宋_GB2312"/>
          <w:sz w:val="32"/>
          <w:szCs w:val="32"/>
        </w:rPr>
        <w:t xml:space="preserve">@mofcom.gov.cn </w:t>
      </w:r>
    </w:p>
    <w:p>
      <w:pPr>
        <w:spacing w:after="0" w:line="240" w:lineRule="auto"/>
        <w:ind w:firstLine="660"/>
        <w:jc w:val="both"/>
        <w:rPr>
          <w:rFonts w:ascii="仿宋_GB2312" w:hAnsi="仿宋_GB2312" w:eastAsia="仿宋_GB2312" w:cs="仿宋_GB2312"/>
          <w:sz w:val="32"/>
          <w:szCs w:val="32"/>
        </w:rPr>
      </w:pPr>
    </w:p>
    <w:p>
      <w:pPr>
        <w:spacing w:after="0" w:line="240" w:lineRule="auto"/>
        <w:ind w:left="2260" w:leftChars="300" w:hanging="1600" w:hangingChars="5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1.国家电子商务示范基地综合评价办法</w:t>
      </w:r>
    </w:p>
    <w:p>
      <w:pPr>
        <w:spacing w:after="0" w:line="240" w:lineRule="auto"/>
        <w:ind w:left="2260" w:leftChars="300" w:hanging="1600" w:hangingChars="5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2.国家电子商务示范基地和其他电子商务</w:t>
      </w:r>
      <w:r>
        <w:rPr>
          <w:rFonts w:hint="eastAsia" w:ascii="仿宋_GB2312" w:hAnsi="仿宋_GB2312" w:eastAsia="仿宋_GB2312" w:cs="仿宋_GB2312"/>
          <w:sz w:val="32"/>
          <w:szCs w:val="32"/>
        </w:rPr>
        <w:t>产业基地</w:t>
      </w:r>
      <w:r>
        <w:rPr>
          <w:rFonts w:ascii="仿宋_GB2312" w:hAnsi="仿宋_GB2312" w:eastAsia="仿宋_GB2312" w:cs="仿宋_GB2312"/>
          <w:sz w:val="32"/>
          <w:szCs w:val="32"/>
        </w:rPr>
        <w:t>经营服务情况报告表</w:t>
      </w:r>
    </w:p>
    <w:p>
      <w:pPr>
        <w:spacing w:after="0" w:line="240" w:lineRule="auto"/>
        <w:ind w:left="2260" w:leftChars="300" w:hanging="1600" w:hanging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"http://images.mofcom.gov.cn/dzsws/201804/20180409101442631.xlsx"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国家电子商务示范基地综合评价指标</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解释及证明材料清单</w:t>
      </w:r>
    </w:p>
    <w:p>
      <w:pPr>
        <w:spacing w:after="0" w:line="240" w:lineRule="auto"/>
        <w:ind w:left="2260" w:leftChars="300" w:hanging="1600" w:hangingChars="5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ascii="仿宋_GB2312" w:hAnsi="仿宋_GB2312" w:eastAsia="仿宋_GB2312" w:cs="仿宋_GB2312"/>
          <w:sz w:val="32"/>
          <w:szCs w:val="32"/>
        </w:rPr>
        <w:t>国家电子商务示范基地和其他电子商务</w:t>
      </w:r>
      <w:r>
        <w:rPr>
          <w:rFonts w:hint="eastAsia" w:ascii="仿宋_GB2312" w:hAnsi="仿宋_GB2312" w:eastAsia="仿宋_GB2312" w:cs="仿宋_GB2312"/>
          <w:sz w:val="32"/>
          <w:szCs w:val="32"/>
        </w:rPr>
        <w:t>产业基地</w:t>
      </w:r>
      <w:r>
        <w:rPr>
          <w:rFonts w:ascii="仿宋_GB2312" w:hAnsi="仿宋_GB2312" w:eastAsia="仿宋_GB2312" w:cs="仿宋_GB2312"/>
          <w:sz w:val="32"/>
          <w:szCs w:val="32"/>
        </w:rPr>
        <w:t>自评报告编制说明</w:t>
      </w:r>
    </w:p>
    <w:p>
      <w:pPr>
        <w:spacing w:after="0" w:line="240" w:lineRule="auto"/>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after="0" w:line="240" w:lineRule="auto"/>
        <w:jc w:val="both"/>
        <w:rPr>
          <w:rFonts w:ascii="仿宋_GB2312" w:hAnsi="仿宋_GB2312" w:eastAsia="仿宋_GB2312" w:cs="仿宋_GB2312"/>
          <w:sz w:val="32"/>
          <w:szCs w:val="32"/>
        </w:rPr>
      </w:pPr>
    </w:p>
    <w:p>
      <w:pPr>
        <w:spacing w:after="0" w:line="240" w:lineRule="auto"/>
        <w:jc w:val="both"/>
        <w:rPr>
          <w:rFonts w:ascii="仿宋_GB2312" w:hAnsi="仿宋_GB2312" w:eastAsia="仿宋_GB2312" w:cs="仿宋_GB2312"/>
          <w:sz w:val="32"/>
          <w:szCs w:val="32"/>
        </w:rPr>
      </w:pPr>
    </w:p>
    <w:p>
      <w:pPr>
        <w:spacing w:after="0" w:line="240" w:lineRule="auto"/>
        <w:ind w:firstLine="5120" w:firstLineChars="1600"/>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商务部办公厅</w:t>
      </w:r>
    </w:p>
    <w:p>
      <w:pPr>
        <w:spacing w:after="0" w:line="240" w:lineRule="auto"/>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 xml:space="preserve">日  </w:t>
      </w:r>
    </w:p>
    <w:p>
      <w:pPr>
        <w:spacing w:after="0" w:line="240" w:lineRule="auto"/>
        <w:rPr>
          <w:rFonts w:ascii="仿宋_GB2312" w:hAnsi="仿宋" w:eastAsia="仿宋_GB2312" w:cs="宋体"/>
          <w:sz w:val="32"/>
          <w:szCs w:val="32"/>
        </w:rPr>
      </w:pPr>
      <w:r>
        <w:rPr>
          <w:rFonts w:ascii="仿宋_GB2312" w:hAnsi="仿宋" w:eastAsia="仿宋_GB2312" w:cs="宋体"/>
          <w:sz w:val="32"/>
          <w:szCs w:val="32"/>
        </w:rPr>
        <w:br w:type="page"/>
      </w:r>
    </w:p>
    <w:p>
      <w:pPr>
        <w:spacing w:after="0" w:line="240" w:lineRule="auto"/>
        <w:jc w:val="both"/>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after="0" w:line="240" w:lineRule="auto"/>
        <w:jc w:val="both"/>
        <w:rPr>
          <w:rFonts w:ascii="黑体" w:hAnsi="黑体" w:eastAsia="黑体" w:cs="黑体"/>
          <w:sz w:val="32"/>
          <w:szCs w:val="32"/>
        </w:rPr>
      </w:pPr>
    </w:p>
    <w:p>
      <w:pPr>
        <w:keepNext w:val="0"/>
        <w:keepLines w:val="0"/>
        <w:pageBreakBefore w:val="0"/>
        <w:widowControl/>
        <w:kinsoku/>
        <w:wordWrap/>
        <w:overflowPunct/>
        <w:topLinePunct w:val="0"/>
        <w:bidi w:val="0"/>
        <w:snapToGrid/>
        <w:spacing w:after="0" w:line="240" w:lineRule="auto"/>
        <w:jc w:val="center"/>
        <w:textAlignment w:val="auto"/>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国家电子商务示范基地综合评价办法</w:t>
      </w:r>
    </w:p>
    <w:p>
      <w:pPr>
        <w:keepNext w:val="0"/>
        <w:keepLines w:val="0"/>
        <w:pageBreakBefore w:val="0"/>
        <w:widowControl/>
        <w:kinsoku/>
        <w:wordWrap/>
        <w:overflowPunct/>
        <w:topLinePunct w:val="0"/>
        <w:bidi w:val="0"/>
        <w:snapToGrid/>
        <w:spacing w:after="0" w:line="240" w:lineRule="auto"/>
        <w:jc w:val="both"/>
        <w:textAlignment w:val="auto"/>
        <w:rPr>
          <w:rFonts w:ascii="黑体" w:hAnsi="黑体" w:eastAsia="黑体" w:cs="Times New Roman"/>
          <w:color w:val="auto"/>
          <w:sz w:val="40"/>
          <w:szCs w:val="40"/>
        </w:rPr>
      </w:pPr>
      <w:r>
        <w:rPr>
          <w:rFonts w:hint="eastAsia" w:ascii="华文楷体" w:hAnsi="华文楷体" w:eastAsia="华文楷体" w:cs="华文楷体"/>
          <w:b/>
          <w:color w:val="auto"/>
          <w:sz w:val="40"/>
          <w:szCs w:val="40"/>
        </w:rPr>
        <w:t xml:space="preserve">              </w:t>
      </w:r>
      <w:r>
        <w:rPr>
          <w:rFonts w:hint="default" w:ascii="华文楷体" w:hAnsi="华文楷体" w:eastAsia="华文楷体" w:cs="华文楷体"/>
          <w:b/>
          <w:color w:val="auto"/>
          <w:sz w:val="40"/>
          <w:szCs w:val="40"/>
          <w:lang w:val="en"/>
        </w:rPr>
        <w:t xml:space="preserve">   </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第一条</w:t>
      </w:r>
      <w:r>
        <w:rPr>
          <w:rFonts w:hint="eastAsia" w:ascii="Times New Roman" w:hAnsi="Times New Roman" w:eastAsia="仿宋_GB2312" w:cs="Times New Roman"/>
          <w:color w:val="auto"/>
          <w:sz w:val="32"/>
          <w:szCs w:val="32"/>
        </w:rPr>
        <w:t xml:space="preserve">  为加强对</w:t>
      </w:r>
      <w:r>
        <w:rPr>
          <w:rFonts w:ascii="Times New Roman" w:hAnsi="Times New Roman" w:eastAsia="仿宋_GB2312" w:cs="Times New Roman"/>
          <w:color w:val="auto"/>
          <w:sz w:val="32"/>
          <w:szCs w:val="32"/>
        </w:rPr>
        <w:t>国家电子商务示范基地</w:t>
      </w:r>
      <w:r>
        <w:rPr>
          <w:rFonts w:hint="eastAsia" w:ascii="Times New Roman" w:hAnsi="Times New Roman" w:eastAsia="仿宋_GB2312" w:cs="Times New Roman"/>
          <w:color w:val="auto"/>
          <w:sz w:val="32"/>
          <w:szCs w:val="32"/>
        </w:rPr>
        <w:t>（以下简称示范基地）的分类指导和动态管理，引导和督促示范基地积极贯彻新发展理念，紧密结合国家战略</w:t>
      </w:r>
      <w:r>
        <w:rPr>
          <w:rFonts w:hint="eastAsia" w:ascii="仿宋_GB2312" w:hAnsi="宋体" w:eastAsia="仿宋_GB2312" w:cs="Times New Roman"/>
          <w:color w:val="auto"/>
          <w:sz w:val="32"/>
          <w:szCs w:val="32"/>
        </w:rPr>
        <w:t>优化和创新经营服务内容及方式，更好地发挥引领带动作用，特制定本办法。</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仿宋_GB2312" w:hAnsi="仿宋_GB2312" w:eastAsia="仿宋_GB2312" w:cs="仿宋_GB2312"/>
          <w:bCs/>
          <w:color w:val="auto"/>
          <w:sz w:val="32"/>
          <w:szCs w:val="32"/>
        </w:rPr>
      </w:pPr>
      <w:r>
        <w:rPr>
          <w:rFonts w:hint="eastAsia" w:ascii="黑体" w:hAnsi="黑体" w:eastAsia="黑体" w:cs="Times New Roman"/>
          <w:bCs/>
          <w:color w:val="auto"/>
          <w:sz w:val="32"/>
          <w:szCs w:val="32"/>
        </w:rPr>
        <w:t>第二条</w:t>
      </w:r>
      <w:r>
        <w:rPr>
          <w:rFonts w:ascii="Times New Roman" w:hAnsi="Times New Roman" w:eastAsia="仿宋_GB2312" w:cs="Times New Roman"/>
          <w:bCs/>
          <w:color w:val="auto"/>
          <w:sz w:val="32"/>
          <w:szCs w:val="32"/>
        </w:rPr>
        <w:t xml:space="preserve"> </w:t>
      </w:r>
      <w:r>
        <w:rPr>
          <w:rFonts w:ascii="Times New Roman" w:hAnsi="Times New Roman" w:eastAsia="仿宋_GB2312" w:cs="Times New Roman"/>
          <w:color w:val="auto"/>
          <w:sz w:val="32"/>
          <w:szCs w:val="32"/>
        </w:rPr>
        <w:t xml:space="preserve"> </w:t>
      </w:r>
      <w:r>
        <w:rPr>
          <w:rFonts w:hint="eastAsia" w:ascii="仿宋_GB2312" w:hAnsi="仿宋_GB2312" w:eastAsia="仿宋_GB2312" w:cs="仿宋_GB2312"/>
          <w:bCs/>
          <w:color w:val="auto"/>
          <w:sz w:val="32"/>
          <w:szCs w:val="32"/>
        </w:rPr>
        <w:t>按照中共中央办公厅、国务院办公厅印发《创建示范活动管理办法（试行）》</w:t>
      </w:r>
      <w:r>
        <w:rPr>
          <w:rFonts w:hint="eastAsia" w:ascii="仿宋_GB2312" w:hAnsi="仿宋_GB2312" w:eastAsia="仿宋_GB2312" w:cs="仿宋_GB2312"/>
          <w:bCs/>
          <w:color w:val="auto"/>
          <w:sz w:val="32"/>
          <w:szCs w:val="32"/>
          <w:lang w:bidi="ar"/>
        </w:rPr>
        <w:t>《“十四五”电子商务发展规划》《“十四五”对外贸易高质量发展规划》</w:t>
      </w:r>
      <w:r>
        <w:rPr>
          <w:rFonts w:hint="eastAsia" w:ascii="仿宋_GB2312" w:hAnsi="仿宋_GB2312" w:eastAsia="仿宋_GB2312" w:cs="仿宋_GB2312"/>
          <w:bCs/>
          <w:color w:val="auto"/>
          <w:sz w:val="32"/>
          <w:szCs w:val="32"/>
        </w:rPr>
        <w:t>《商务部关于进一步推进国家电子商务示范基地建设工作的指导意见》（商电发﹝2017﹞26号）有关要求，制定示范基地综合评价指标体系（</w:t>
      </w:r>
      <w:r>
        <w:rPr>
          <w:rFonts w:hint="eastAsia" w:ascii="仿宋_GB2312" w:hAnsi="仿宋_GB2312" w:eastAsia="仿宋_GB2312" w:cs="仿宋_GB2312"/>
          <w:bCs/>
          <w:color w:val="auto"/>
          <w:sz w:val="32"/>
          <w:szCs w:val="32"/>
          <w:lang w:eastAsia="zh-CN"/>
        </w:rPr>
        <w:t>附后，</w:t>
      </w:r>
      <w:r>
        <w:rPr>
          <w:rFonts w:hint="eastAsia" w:ascii="仿宋_GB2312" w:hAnsi="仿宋_GB2312" w:eastAsia="仿宋_GB2312" w:cs="仿宋_GB2312"/>
          <w:bCs/>
          <w:color w:val="auto"/>
          <w:sz w:val="32"/>
          <w:szCs w:val="32"/>
        </w:rPr>
        <w:t>以下简称综合评价指标），开展示范基地综合评价工作。</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Times New Roman"/>
          <w:color w:val="auto"/>
          <w:sz w:val="32"/>
          <w:szCs w:val="32"/>
        </w:rPr>
        <w:t>第三条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综合评价工作遵循全面客观、公开透明、科学量化的原则，同时兼顾地区差异、发展不平衡等问题和情况。</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第四条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综合评价指标</w:t>
      </w:r>
      <w:r>
        <w:rPr>
          <w:rFonts w:hint="eastAsia" w:ascii="Times New Roman" w:hAnsi="Times New Roman" w:eastAsia="仿宋_GB2312" w:cs="Times New Roman"/>
          <w:color w:val="auto"/>
          <w:sz w:val="32"/>
          <w:szCs w:val="32"/>
          <w:lang w:eastAsia="zh-CN"/>
        </w:rPr>
        <w:t>共</w:t>
      </w:r>
      <w:r>
        <w:rPr>
          <w:rFonts w:ascii="Times New Roman" w:hAnsi="Times New Roman" w:eastAsia="仿宋_GB2312" w:cs="Times New Roman"/>
          <w:color w:val="auto"/>
          <w:sz w:val="32"/>
          <w:szCs w:val="32"/>
        </w:rPr>
        <w:t>分三级，</w:t>
      </w:r>
      <w:r>
        <w:rPr>
          <w:rFonts w:hint="eastAsia" w:ascii="Times New Roman" w:hAnsi="Times New Roman" w:eastAsia="仿宋_GB2312" w:cs="Times New Roman"/>
          <w:color w:val="auto"/>
          <w:sz w:val="32"/>
          <w:szCs w:val="32"/>
          <w:lang w:eastAsia="zh-CN"/>
        </w:rPr>
        <w:t>其中</w:t>
      </w:r>
      <w:r>
        <w:rPr>
          <w:rFonts w:ascii="Times New Roman" w:hAnsi="Times New Roman" w:eastAsia="仿宋_GB2312" w:cs="Times New Roman"/>
          <w:color w:val="auto"/>
          <w:sz w:val="32"/>
          <w:szCs w:val="32"/>
        </w:rPr>
        <w:t>一级</w:t>
      </w:r>
      <w:r>
        <w:rPr>
          <w:rFonts w:hint="eastAsia" w:ascii="Times New Roman" w:hAnsi="Times New Roman" w:eastAsia="仿宋_GB2312" w:cs="Times New Roman"/>
          <w:color w:val="auto"/>
          <w:sz w:val="32"/>
          <w:szCs w:val="32"/>
        </w:rPr>
        <w:t>指标5</w:t>
      </w:r>
      <w:r>
        <w:rPr>
          <w:rFonts w:hint="eastAsia" w:ascii="Times New Roman" w:hAnsi="Times New Roman" w:eastAsia="仿宋_GB2312" w:cs="Times New Roman"/>
          <w:color w:val="auto"/>
          <w:sz w:val="32"/>
          <w:szCs w:val="32"/>
          <w:lang w:eastAsia="zh-CN"/>
        </w:rPr>
        <w:t>项</w:t>
      </w:r>
      <w:r>
        <w:rPr>
          <w:rFonts w:hint="eastAsia" w:ascii="Times New Roman" w:hAnsi="Times New Roman" w:eastAsia="仿宋_GB2312" w:cs="Times New Roman"/>
          <w:color w:val="auto"/>
          <w:sz w:val="32"/>
          <w:szCs w:val="32"/>
        </w:rPr>
        <w:t>（承载能力、服务能力、保障能力、示范能力、创新能力），</w:t>
      </w:r>
      <w:r>
        <w:rPr>
          <w:rFonts w:ascii="Times New Roman" w:hAnsi="Times New Roman" w:eastAsia="仿宋_GB2312" w:cs="Times New Roman"/>
          <w:color w:val="auto"/>
          <w:sz w:val="32"/>
          <w:szCs w:val="32"/>
        </w:rPr>
        <w:t>二级指标</w:t>
      </w:r>
      <w:r>
        <w:rPr>
          <w:rFonts w:hint="eastAsia" w:ascii="Times New Roman" w:hAnsi="Times New Roman" w:eastAsia="仿宋_GB2312" w:cs="Times New Roman"/>
          <w:color w:val="auto"/>
          <w:sz w:val="32"/>
          <w:szCs w:val="32"/>
        </w:rPr>
        <w:t>17</w:t>
      </w:r>
      <w:r>
        <w:rPr>
          <w:rFonts w:hint="eastAsia" w:ascii="Times New Roman" w:hAnsi="Times New Roman" w:eastAsia="仿宋_GB2312" w:cs="Times New Roman"/>
          <w:color w:val="auto"/>
          <w:sz w:val="32"/>
          <w:szCs w:val="32"/>
          <w:lang w:eastAsia="zh-CN"/>
        </w:rPr>
        <w:t>项</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三级指标</w:t>
      </w:r>
      <w:r>
        <w:rPr>
          <w:rFonts w:hint="eastAsia" w:ascii="Times New Roman" w:hAnsi="Times New Roman" w:eastAsia="仿宋_GB2312" w:cs="Times New Roman"/>
          <w:color w:val="auto"/>
          <w:sz w:val="32"/>
          <w:szCs w:val="32"/>
        </w:rPr>
        <w:t>76</w:t>
      </w:r>
      <w:r>
        <w:rPr>
          <w:rFonts w:hint="eastAsia" w:ascii="Times New Roman" w:hAnsi="Times New Roman" w:eastAsia="仿宋_GB2312" w:cs="Times New Roman"/>
          <w:color w:val="auto"/>
          <w:sz w:val="32"/>
          <w:szCs w:val="32"/>
          <w:lang w:eastAsia="zh-CN"/>
        </w:rPr>
        <w:t>项</w:t>
      </w:r>
      <w:r>
        <w:rPr>
          <w:rFonts w:hint="eastAsia" w:ascii="Times New Roman"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综合评价指标根据形势发展变化及实际工作需要，适时作出相应调整。</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hint="eastAsia" w:ascii="Times New Roman" w:hAnsi="Times New Roman" w:eastAsia="仿宋_GB2312" w:cs="Times New Roman"/>
          <w:color w:val="auto"/>
          <w:sz w:val="32"/>
          <w:szCs w:val="32"/>
        </w:rPr>
      </w:pPr>
      <w:r>
        <w:rPr>
          <w:rFonts w:hint="eastAsia" w:ascii="黑体" w:hAnsi="黑体" w:eastAsia="黑体" w:cs="Times New Roman"/>
          <w:color w:val="auto"/>
          <w:sz w:val="32"/>
          <w:szCs w:val="32"/>
        </w:rPr>
        <w:t>第五条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商务部电子商务和信息化司根据综合评价指标的测度项目，组织研究确定评分细则和计算方法，并委托相关专业机构根据本办法开展具体评价工作。</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第六条</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综合评价</w:t>
      </w:r>
      <w:r>
        <w:rPr>
          <w:rFonts w:hint="eastAsia" w:ascii="仿宋_GB2312" w:hAnsi="仿宋_GB2312" w:eastAsia="仿宋_GB2312" w:cs="仿宋_GB2312"/>
          <w:color w:val="auto"/>
          <w:sz w:val="32"/>
          <w:szCs w:val="32"/>
        </w:rPr>
        <w:t>采取定量与定性相结合的方式</w:t>
      </w:r>
      <w:r>
        <w:rPr>
          <w:rFonts w:hint="eastAsia" w:ascii="仿宋_GB2312" w:hAnsi="仿宋_GB2312" w:eastAsia="仿宋_GB2312" w:cs="仿宋_GB2312"/>
          <w:color w:val="auto"/>
          <w:sz w:val="32"/>
          <w:szCs w:val="32"/>
          <w:lang w:eastAsia="zh-CN"/>
        </w:rPr>
        <w:t>，并按照</w:t>
      </w:r>
      <w:r>
        <w:rPr>
          <w:rFonts w:hint="eastAsia" w:ascii="仿宋_GB2312" w:hAnsi="仿宋_GB2312" w:eastAsia="仿宋_GB2312" w:cs="仿宋_GB2312"/>
          <w:color w:val="auto"/>
          <w:sz w:val="32"/>
          <w:szCs w:val="32"/>
        </w:rPr>
        <w:t>定量、定性各占</w:t>
      </w:r>
      <w:r>
        <w:rPr>
          <w:rFonts w:hint="eastAsia" w:ascii="仿宋_GB2312" w:hAnsi="仿宋_GB2312" w:eastAsia="仿宋_GB2312" w:cs="仿宋_GB2312"/>
          <w:color w:val="auto"/>
          <w:sz w:val="32"/>
          <w:szCs w:val="32"/>
          <w:lang w:val="en-US" w:eastAsia="zh-CN"/>
        </w:rPr>
        <w:t>80%和2</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权重，计算出每个基地的综合得分。定量方面，在通过德尔菲法</w:t>
      </w:r>
      <w:r>
        <w:rPr>
          <w:rFonts w:hint="eastAsia" w:ascii="仿宋_GB2312" w:hAnsi="仿宋_GB2312" w:eastAsia="仿宋_GB2312" w:cs="仿宋_GB2312"/>
          <w:color w:val="auto"/>
          <w:sz w:val="32"/>
          <w:szCs w:val="32"/>
          <w:lang w:eastAsia="zh-CN"/>
        </w:rPr>
        <w:t>（专家调查法）</w:t>
      </w:r>
      <w:r>
        <w:rPr>
          <w:rFonts w:hint="eastAsia" w:ascii="仿宋_GB2312" w:hAnsi="仿宋_GB2312" w:eastAsia="仿宋_GB2312" w:cs="仿宋_GB2312"/>
          <w:color w:val="auto"/>
          <w:sz w:val="32"/>
          <w:szCs w:val="32"/>
        </w:rPr>
        <w:t>确定综合评价指标中各级指标权重的基础上，对各</w:t>
      </w:r>
      <w:r>
        <w:rPr>
          <w:rFonts w:ascii="仿宋_GB2312" w:hAnsi="仿宋_GB2312" w:eastAsia="仿宋_GB2312" w:cs="仿宋_GB2312"/>
          <w:color w:val="auto"/>
          <w:sz w:val="32"/>
          <w:szCs w:val="32"/>
        </w:rPr>
        <w:t>示范</w:t>
      </w:r>
      <w:r>
        <w:rPr>
          <w:rFonts w:hint="eastAsia" w:ascii="仿宋_GB2312" w:hAnsi="仿宋_GB2312" w:eastAsia="仿宋_GB2312" w:cs="仿宋_GB2312"/>
          <w:color w:val="auto"/>
          <w:sz w:val="32"/>
          <w:szCs w:val="32"/>
        </w:rPr>
        <w:t>基地（</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各地推荐参评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其他电子商务产业基地）的三级指标进行排序、分档并加权汇总。定性方面，评审专家根据示范基地（</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各地推荐参评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其他电子商务产业基地）的自评报告并结合相关佐证材料对一级指标进行</w:t>
      </w:r>
      <w:r>
        <w:rPr>
          <w:rFonts w:ascii="仿宋_GB2312" w:hAnsi="仿宋_GB2312" w:eastAsia="仿宋_GB2312" w:cs="仿宋_GB2312"/>
          <w:color w:val="auto"/>
          <w:sz w:val="32"/>
          <w:szCs w:val="32"/>
        </w:rPr>
        <w:t>打分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七</w:t>
      </w:r>
      <w:r>
        <w:rPr>
          <w:rFonts w:hint="eastAsia" w:ascii="黑体" w:hAnsi="黑体" w:eastAsia="黑体" w:cs="Times New Roman"/>
          <w:color w:val="auto"/>
          <w:sz w:val="32"/>
          <w:szCs w:val="32"/>
        </w:rPr>
        <w:t>条</w:t>
      </w:r>
      <w:r>
        <w:rPr>
          <w:rFonts w:ascii="黑体" w:hAnsi="黑体" w:eastAsia="黑体" w:cs="Times New Roman"/>
          <w:color w:val="auto"/>
          <w:sz w:val="32"/>
          <w:szCs w:val="32"/>
        </w:rPr>
        <w:t xml:space="preserve">  </w:t>
      </w:r>
      <w:r>
        <w:rPr>
          <w:rFonts w:hint="eastAsia" w:ascii="Times New Roman" w:hAnsi="Times New Roman" w:eastAsia="仿宋_GB2312" w:cs="Times New Roman"/>
          <w:color w:val="auto"/>
          <w:sz w:val="32"/>
          <w:szCs w:val="32"/>
        </w:rPr>
        <w:t>各省级商务主管部门负责本行政区域内示范基地（包括各地推荐参评的其他电子商务产业基地）综合评价工作的组织协调及报送数据材料的审核工作。</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八</w:t>
      </w:r>
      <w:r>
        <w:rPr>
          <w:rFonts w:hint="eastAsia" w:ascii="黑体" w:hAnsi="黑体" w:eastAsia="黑体" w:cs="Times New Roman"/>
          <w:color w:val="auto"/>
          <w:sz w:val="32"/>
          <w:szCs w:val="32"/>
        </w:rPr>
        <w:t>条</w:t>
      </w:r>
      <w:r>
        <w:rPr>
          <w:rFonts w:ascii="黑体" w:hAnsi="黑体" w:eastAsia="黑体" w:cs="Times New Roman"/>
          <w:color w:val="auto"/>
          <w:sz w:val="32"/>
          <w:szCs w:val="32"/>
        </w:rPr>
        <w:t xml:space="preserve"> </w:t>
      </w:r>
      <w:r>
        <w:rPr>
          <w:rFonts w:hint="eastAsia" w:ascii="Times New Roman" w:hAnsi="Times New Roman" w:eastAsia="仿宋_GB2312" w:cs="Times New Roman"/>
          <w:color w:val="auto"/>
          <w:sz w:val="32"/>
          <w:szCs w:val="32"/>
        </w:rPr>
        <w:t xml:space="preserve"> 各地推荐参评的其他电子商务产业基地，包括电子商务产业园、楼宇型电子商务产业基地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电子商务特色小镇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街、区等类型的电子商务产业集聚区。</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九</w:t>
      </w:r>
      <w:r>
        <w:rPr>
          <w:rFonts w:hint="eastAsia" w:ascii="黑体" w:hAnsi="黑体" w:eastAsia="黑体" w:cs="Times New Roman"/>
          <w:color w:val="auto"/>
          <w:sz w:val="32"/>
          <w:szCs w:val="32"/>
        </w:rPr>
        <w:t>条</w:t>
      </w:r>
      <w:r>
        <w:rPr>
          <w:rFonts w:ascii="黑体" w:hAnsi="黑体" w:eastAsia="黑体" w:cs="Times New Roman"/>
          <w:color w:val="auto"/>
          <w:sz w:val="32"/>
          <w:szCs w:val="32"/>
        </w:rPr>
        <w:t xml:space="preserve">  </w:t>
      </w:r>
      <w:r>
        <w:rPr>
          <w:rFonts w:hint="eastAsia" w:ascii="Times New Roman" w:hAnsi="Times New Roman" w:eastAsia="仿宋_GB2312" w:cs="Times New Roman"/>
          <w:color w:val="auto"/>
          <w:sz w:val="32"/>
          <w:szCs w:val="32"/>
        </w:rPr>
        <w:t>综合评价工作按照下列程序进行：</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（一）数据和材料报送。各示范基地（包括各地推荐参评的其他电子商务产业基地）按规定时间和要求，向省级商务主管部门报送相关数据和材料，经省级商务主管部门审核确认后上报商务部。</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（二）综合评价。商务部委托专业机构根据示范基地（包括各地推荐参评的其他电子商务产业基地）报送的数据和材料，依据评分细则和计算方法得出各自分值，提出综合评价结果。</w:t>
      </w:r>
    </w:p>
    <w:p>
      <w:pPr>
        <w:keepNext w:val="0"/>
        <w:keepLines w:val="0"/>
        <w:pageBreakBefore w:val="0"/>
        <w:widowControl/>
        <w:kinsoku/>
        <w:wordWrap/>
        <w:overflowPunct/>
        <w:topLinePunct w:val="0"/>
        <w:bidi w:val="0"/>
        <w:snapToGrid/>
        <w:spacing w:after="0" w:line="240" w:lineRule="auto"/>
        <w:ind w:firstLine="636"/>
        <w:jc w:val="both"/>
        <w:textAlignment w:val="auto"/>
        <w:rPr>
          <w:rFonts w:ascii="仿宋" w:hAnsi="仿宋" w:eastAsia="仿宋" w:cs="宋体"/>
          <w:color w:val="auto"/>
          <w:sz w:val="32"/>
          <w:szCs w:val="32"/>
        </w:rPr>
      </w:pPr>
      <w:r>
        <w:rPr>
          <w:rFonts w:hint="eastAsia" w:ascii="仿宋" w:hAnsi="仿宋" w:eastAsia="仿宋_GB2312" w:cs="宋体"/>
          <w:color w:val="auto"/>
          <w:sz w:val="32"/>
          <w:szCs w:val="32"/>
        </w:rPr>
        <w:t>（三）结果反馈。商务部电子商务和信息化司对综合评价结果进行研究并报商务部领导同意后，反馈至各省级商务主管部门，作为各地</w:t>
      </w:r>
      <w:r>
        <w:rPr>
          <w:rFonts w:hint="eastAsia" w:ascii="仿宋" w:hAnsi="仿宋" w:eastAsia="仿宋_GB2312" w:cs="宋体"/>
          <w:color w:val="auto"/>
          <w:sz w:val="32"/>
          <w:szCs w:val="32"/>
          <w:lang w:eastAsia="zh-CN"/>
        </w:rPr>
        <w:t>开展示范基地创建活动</w:t>
      </w:r>
      <w:r>
        <w:rPr>
          <w:rFonts w:hint="eastAsia" w:ascii="仿宋" w:hAnsi="仿宋" w:eastAsia="仿宋_GB2312" w:cs="宋体"/>
          <w:color w:val="auto"/>
          <w:sz w:val="32"/>
          <w:szCs w:val="32"/>
        </w:rPr>
        <w:t>分类指导的重要依据。</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十</w:t>
      </w:r>
      <w:r>
        <w:rPr>
          <w:rFonts w:hint="eastAsia" w:ascii="黑体" w:hAnsi="黑体" w:eastAsia="黑体" w:cs="Times New Roman"/>
          <w:color w:val="auto"/>
          <w:sz w:val="32"/>
          <w:szCs w:val="32"/>
        </w:rPr>
        <w:t>条</w:t>
      </w:r>
      <w:r>
        <w:rPr>
          <w:rFonts w:ascii="黑体" w:hAnsi="黑体" w:eastAsia="黑体" w:cs="Times New Roman"/>
          <w:color w:val="auto"/>
          <w:sz w:val="32"/>
          <w:szCs w:val="32"/>
        </w:rPr>
        <w:t xml:space="preserve">  </w:t>
      </w:r>
      <w:r>
        <w:rPr>
          <w:rFonts w:hint="eastAsia" w:ascii="Times New Roman" w:hAnsi="Times New Roman" w:eastAsia="仿宋_GB2312" w:cs="Times New Roman"/>
          <w:color w:val="auto"/>
          <w:sz w:val="32"/>
          <w:szCs w:val="32"/>
        </w:rPr>
        <w:t>严禁任何单位捏造、虚报或篡改数据，对违反规定的示范基地（包括各地推荐参评的其他电子商务产业基地）给予通报批评或取消示范基地（或参评）资格。</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仿宋_GB2312" w:hAnsi="仿宋_GB2312" w:eastAsia="仿宋_GB2312" w:cs="仿宋_GB2312"/>
          <w:color w:val="auto"/>
          <w:sz w:val="32"/>
          <w:szCs w:val="32"/>
        </w:rPr>
        <w:t>综合评价工作按年度进行，并根据综合评价结果对</w:t>
      </w:r>
      <w:r>
        <w:rPr>
          <w:rFonts w:hint="eastAsia" w:ascii="Times New Roman" w:hAnsi="Times New Roman" w:eastAsia="仿宋_GB2312" w:cs="Times New Roman"/>
          <w:color w:val="auto"/>
          <w:sz w:val="32"/>
          <w:szCs w:val="32"/>
        </w:rPr>
        <w:t>示范基地实施动态调整。</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640" w:firstLineChars="200"/>
        <w:jc w:val="both"/>
        <w:textAlignment w:val="auto"/>
        <w:rPr>
          <w:rFonts w:ascii="仿宋" w:hAnsi="仿宋" w:eastAsia="仿宋" w:cs="宋体"/>
          <w:color w:val="auto"/>
          <w:sz w:val="32"/>
          <w:szCs w:val="32"/>
        </w:rPr>
      </w:pPr>
      <w:r>
        <w:rPr>
          <w:rFonts w:hint="eastAsia" w:ascii="仿宋_GB2312" w:hAnsi="仿宋_GB2312" w:eastAsia="仿宋_GB2312" w:cs="仿宋_GB2312"/>
          <w:color w:val="auto"/>
          <w:sz w:val="32"/>
          <w:szCs w:val="32"/>
        </w:rPr>
        <w:t>（一）</w:t>
      </w:r>
      <w:r>
        <w:rPr>
          <w:rFonts w:hint="eastAsia" w:ascii="Times New Roman" w:hAnsi="Times New Roman" w:eastAsia="仿宋_GB2312" w:cs="Times New Roman"/>
          <w:color w:val="auto"/>
          <w:sz w:val="32"/>
          <w:szCs w:val="32"/>
        </w:rPr>
        <w:t>经网上公示和部领导同意，</w:t>
      </w:r>
      <w:r>
        <w:rPr>
          <w:rFonts w:hint="eastAsia" w:ascii="仿宋" w:hAnsi="仿宋" w:eastAsia="仿宋_GB2312" w:cs="Times New Roman"/>
          <w:color w:val="auto"/>
          <w:sz w:val="32"/>
          <w:szCs w:val="32"/>
        </w:rPr>
        <w:t>将</w:t>
      </w:r>
      <w:r>
        <w:rPr>
          <w:rFonts w:hint="eastAsia" w:ascii="Times New Roman" w:hAnsi="Times New Roman" w:eastAsia="仿宋_GB2312" w:cs="Times New Roman"/>
          <w:color w:val="auto"/>
          <w:sz w:val="32"/>
          <w:szCs w:val="32"/>
        </w:rPr>
        <w:t>连续两年综合评价得分排名靠前的各地推荐参评</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rPr>
        <w:t>电子商务产业基地，增补为示范基地。每年新增示范基地</w:t>
      </w:r>
      <w:r>
        <w:rPr>
          <w:rFonts w:hint="eastAsia" w:ascii="Times New Roman" w:hAnsi="Times New Roman" w:eastAsia="仿宋_GB2312" w:cs="Times New Roman"/>
          <w:color w:val="auto"/>
          <w:sz w:val="32"/>
          <w:szCs w:val="32"/>
          <w:lang w:eastAsia="zh-CN"/>
        </w:rPr>
        <w:t>数量</w:t>
      </w:r>
      <w:r>
        <w:rPr>
          <w:rFonts w:hint="eastAsia" w:ascii="Times New Roman" w:hAnsi="Times New Roman" w:eastAsia="仿宋_GB2312" w:cs="Times New Roman"/>
          <w:color w:val="auto"/>
          <w:sz w:val="32"/>
          <w:szCs w:val="32"/>
        </w:rPr>
        <w:t>不超过20家。</w:t>
      </w:r>
    </w:p>
    <w:p>
      <w:pPr>
        <w:keepNext w:val="0"/>
        <w:keepLines w:val="0"/>
        <w:pageBreakBefore w:val="0"/>
        <w:widowControl/>
        <w:kinsoku/>
        <w:wordWrap/>
        <w:overflowPunct/>
        <w:topLinePunct w:val="0"/>
        <w:bidi w:val="0"/>
        <w:snapToGrid/>
        <w:spacing w:after="0" w:line="240" w:lineRule="auto"/>
        <w:ind w:firstLine="72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（二）对年度综合评价得分较低、排名处于后</w:t>
      </w:r>
      <w:r>
        <w:rPr>
          <w:rFonts w:ascii="仿宋_GB2312" w:hAnsi="仿宋_GB2312" w:eastAsia="仿宋_GB2312" w:cs="仿宋_GB2312"/>
          <w:color w:val="auto"/>
          <w:sz w:val="32"/>
          <w:szCs w:val="32"/>
          <w:lang w:val="en"/>
        </w:rPr>
        <w:t>10</w:t>
      </w:r>
      <w:r>
        <w:rPr>
          <w:rFonts w:hint="eastAsia" w:ascii="仿宋_GB2312" w:hAnsi="仿宋_GB2312" w:eastAsia="仿宋_GB2312" w:cs="仿宋_GB2312"/>
          <w:color w:val="auto"/>
          <w:sz w:val="32"/>
          <w:szCs w:val="32"/>
        </w:rPr>
        <w:t>位的示范基地，由</w:t>
      </w:r>
      <w:r>
        <w:rPr>
          <w:rFonts w:hint="eastAsia" w:ascii="仿宋_GB2312" w:hAnsi="仿宋_GB2312" w:eastAsia="仿宋_GB2312" w:cs="仿宋_GB2312"/>
          <w:color w:val="auto"/>
          <w:sz w:val="32"/>
          <w:szCs w:val="32"/>
          <w:lang w:eastAsia="zh-CN"/>
        </w:rPr>
        <w:t>所在</w:t>
      </w:r>
      <w:r>
        <w:rPr>
          <w:rFonts w:hint="eastAsia" w:ascii="仿宋_GB2312" w:hAnsi="仿宋_GB2312" w:eastAsia="仿宋_GB2312" w:cs="仿宋_GB2312"/>
          <w:color w:val="auto"/>
          <w:sz w:val="32"/>
          <w:szCs w:val="32"/>
        </w:rPr>
        <w:t>省级商务主管部门约谈其主要负责人并提出整改要求，同时，商务部开展帮扶指导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对连续两年综合评价得分排名处于后</w:t>
      </w:r>
      <w:r>
        <w:rPr>
          <w:rFonts w:ascii="仿宋_GB2312" w:hAnsi="仿宋_GB2312" w:eastAsia="仿宋_GB2312" w:cs="仿宋_GB2312"/>
          <w:color w:val="auto"/>
          <w:sz w:val="32"/>
          <w:szCs w:val="32"/>
        </w:rPr>
        <w:t>2位的，取消其示范基地资格。被取消</w:t>
      </w:r>
      <w:r>
        <w:rPr>
          <w:rFonts w:hint="eastAsia" w:ascii="仿宋_GB2312" w:hAnsi="仿宋_GB2312" w:eastAsia="仿宋_GB2312" w:cs="仿宋_GB2312"/>
          <w:color w:val="auto"/>
          <w:sz w:val="32"/>
          <w:szCs w:val="32"/>
        </w:rPr>
        <w:t>示范基地资格</w:t>
      </w:r>
      <w:r>
        <w:rPr>
          <w:rFonts w:ascii="仿宋_GB2312" w:hAnsi="仿宋_GB2312" w:eastAsia="仿宋_GB2312" w:cs="仿宋_GB2312"/>
          <w:color w:val="auto"/>
          <w:sz w:val="32"/>
          <w:szCs w:val="32"/>
        </w:rPr>
        <w:t>4年内，不得再次申报。</w:t>
      </w:r>
    </w:p>
    <w:p>
      <w:pPr>
        <w:keepNext w:val="0"/>
        <w:keepLines w:val="0"/>
        <w:pageBreakBefore w:val="0"/>
        <w:widowControl/>
        <w:kinsoku/>
        <w:wordWrap/>
        <w:overflowPunct/>
        <w:topLinePunct w:val="0"/>
        <w:bidi w:val="0"/>
        <w:snapToGrid/>
        <w:spacing w:after="0" w:line="240" w:lineRule="auto"/>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Times New Roman"/>
          <w:color w:val="auto"/>
          <w:sz w:val="32"/>
          <w:szCs w:val="32"/>
        </w:rPr>
        <w:t>第十</w:t>
      </w:r>
      <w:r>
        <w:rPr>
          <w:rFonts w:hint="eastAsia" w:ascii="黑体" w:hAnsi="黑体" w:eastAsia="黑体" w:cs="Times New Roman"/>
          <w:color w:val="auto"/>
          <w:sz w:val="32"/>
          <w:szCs w:val="32"/>
          <w:lang w:eastAsia="zh-CN"/>
        </w:rPr>
        <w:t>二</w:t>
      </w:r>
      <w:r>
        <w:rPr>
          <w:rFonts w:hint="eastAsia" w:ascii="黑体" w:hAnsi="黑体" w:eastAsia="黑体" w:cs="Times New Roman"/>
          <w:color w:val="auto"/>
          <w:sz w:val="32"/>
          <w:szCs w:val="32"/>
        </w:rPr>
        <w:t>条</w:t>
      </w:r>
      <w:r>
        <w:rPr>
          <w:rFonts w:ascii="黑体" w:hAnsi="黑体" w:eastAsia="黑体" w:cs="Times New Roman"/>
          <w:color w:val="auto"/>
          <w:sz w:val="32"/>
          <w:szCs w:val="32"/>
        </w:rPr>
        <w:t xml:space="preserve">  </w:t>
      </w:r>
      <w:r>
        <w:rPr>
          <w:rFonts w:hint="eastAsia" w:ascii="仿宋_GB2312" w:hAnsi="仿宋_GB2312" w:eastAsia="仿宋_GB2312" w:cs="仿宋_GB2312"/>
          <w:color w:val="auto"/>
          <w:sz w:val="32"/>
          <w:szCs w:val="32"/>
        </w:rPr>
        <w:t>近两年发生重大及以上生产安全事故的电子商务产业基地，不得推荐参与示范基地综合评价；对综合评价当年发生重大及以上生产安全事故的示范基地，取消其示范资格。</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Times New Roman"/>
          <w:color w:val="auto"/>
          <w:sz w:val="32"/>
          <w:szCs w:val="32"/>
        </w:rPr>
        <w:t>第十</w:t>
      </w:r>
      <w:r>
        <w:rPr>
          <w:rFonts w:hint="eastAsia" w:ascii="黑体" w:hAnsi="黑体" w:eastAsia="黑体" w:cs="Times New Roman"/>
          <w:color w:val="auto"/>
          <w:sz w:val="32"/>
          <w:szCs w:val="32"/>
          <w:lang w:eastAsia="zh-CN"/>
        </w:rPr>
        <w:t>三</w:t>
      </w:r>
      <w:r>
        <w:rPr>
          <w:rFonts w:hint="eastAsia" w:ascii="黑体" w:hAnsi="黑体" w:eastAsia="黑体" w:cs="Times New Roman"/>
          <w:color w:val="auto"/>
          <w:sz w:val="32"/>
          <w:szCs w:val="32"/>
        </w:rPr>
        <w:t>条</w:t>
      </w:r>
      <w:r>
        <w:rPr>
          <w:rFonts w:ascii="黑体" w:hAnsi="黑体" w:eastAsia="黑体" w:cs="Times New Roman"/>
          <w:color w:val="auto"/>
          <w:sz w:val="32"/>
          <w:szCs w:val="32"/>
        </w:rPr>
        <w:t xml:space="preserve">  </w:t>
      </w:r>
      <w:r>
        <w:rPr>
          <w:rFonts w:hint="eastAsia" w:ascii="仿宋_GB2312" w:hAnsi="仿宋_GB2312" w:eastAsia="仿宋_GB2312" w:cs="仿宋_GB2312"/>
          <w:color w:val="auto"/>
          <w:sz w:val="32"/>
          <w:szCs w:val="32"/>
        </w:rPr>
        <w:t>示范基地发生更名、合并、分立或转业的，应及时向商务部及所在省级商务主管部门备案。</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本办法由商务部电子商务和信息化司负责解释。</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640" w:firstLineChars="200"/>
        <w:jc w:val="both"/>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640" w:firstLineChars="200"/>
        <w:jc w:val="both"/>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640" w:firstLineChars="200"/>
        <w:jc w:val="both"/>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640" w:firstLineChars="200"/>
        <w:jc w:val="both"/>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800" w:firstLineChars="200"/>
        <w:jc w:val="both"/>
        <w:textAlignment w:val="auto"/>
        <w:rPr>
          <w:rFonts w:ascii="仿宋_GB2312" w:hAnsi="仿宋_GB2312" w:eastAsia="仿宋_GB2312" w:cs="仿宋_GB2312"/>
          <w:color w:val="auto"/>
          <w:sz w:val="40"/>
          <w:szCs w:val="40"/>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800" w:firstLineChars="200"/>
        <w:jc w:val="both"/>
        <w:textAlignment w:val="auto"/>
        <w:rPr>
          <w:rFonts w:ascii="仿宋_GB2312" w:hAnsi="仿宋_GB2312" w:eastAsia="仿宋_GB2312" w:cs="仿宋_GB2312"/>
          <w:color w:val="auto"/>
          <w:sz w:val="40"/>
          <w:szCs w:val="40"/>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800" w:firstLineChars="200"/>
        <w:jc w:val="both"/>
        <w:textAlignment w:val="auto"/>
        <w:rPr>
          <w:rFonts w:ascii="仿宋_GB2312" w:hAnsi="仿宋_GB2312" w:eastAsia="仿宋_GB2312" w:cs="仿宋_GB2312"/>
          <w:color w:val="auto"/>
          <w:sz w:val="40"/>
          <w:szCs w:val="40"/>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800" w:firstLineChars="200"/>
        <w:jc w:val="both"/>
        <w:textAlignment w:val="auto"/>
        <w:rPr>
          <w:rFonts w:ascii="仿宋_GB2312" w:hAnsi="仿宋_GB2312" w:eastAsia="仿宋_GB2312" w:cs="仿宋_GB2312"/>
          <w:color w:val="auto"/>
          <w:sz w:val="40"/>
          <w:szCs w:val="40"/>
        </w:rPr>
      </w:pPr>
    </w:p>
    <w:p>
      <w:pPr>
        <w:autoSpaceDE w:val="0"/>
        <w:autoSpaceDN w:val="0"/>
        <w:adjustRightInd w:val="0"/>
        <w:spacing w:after="0" w:line="240" w:lineRule="auto"/>
        <w:ind w:firstLine="800" w:firstLineChars="200"/>
        <w:jc w:val="both"/>
        <w:rPr>
          <w:rFonts w:ascii="仿宋_GB2312" w:hAnsi="仿宋_GB2312" w:eastAsia="仿宋_GB2312" w:cs="仿宋_GB2312"/>
          <w:color w:val="auto"/>
          <w:sz w:val="40"/>
          <w:szCs w:val="40"/>
        </w:rPr>
      </w:pPr>
    </w:p>
    <w:p>
      <w:pPr>
        <w:autoSpaceDE w:val="0"/>
        <w:autoSpaceDN w:val="0"/>
        <w:adjustRightInd w:val="0"/>
        <w:spacing w:after="0" w:line="240" w:lineRule="auto"/>
        <w:ind w:firstLine="800" w:firstLineChars="200"/>
        <w:jc w:val="both"/>
        <w:rPr>
          <w:rFonts w:ascii="仿宋_GB2312" w:hAnsi="仿宋_GB2312" w:eastAsia="仿宋_GB2312" w:cs="仿宋_GB2312"/>
          <w:color w:val="auto"/>
          <w:sz w:val="40"/>
          <w:szCs w:val="40"/>
        </w:rPr>
      </w:pPr>
    </w:p>
    <w:p>
      <w:pPr>
        <w:autoSpaceDE w:val="0"/>
        <w:autoSpaceDN w:val="0"/>
        <w:adjustRightInd w:val="0"/>
        <w:spacing w:after="0" w:line="240" w:lineRule="auto"/>
        <w:ind w:firstLine="800" w:firstLineChars="200"/>
        <w:jc w:val="both"/>
        <w:rPr>
          <w:rFonts w:ascii="仿宋_GB2312" w:hAnsi="仿宋_GB2312" w:eastAsia="仿宋_GB2312" w:cs="仿宋_GB2312"/>
          <w:color w:val="auto"/>
          <w:sz w:val="40"/>
          <w:szCs w:val="40"/>
        </w:rPr>
      </w:pPr>
    </w:p>
    <w:p>
      <w:pPr>
        <w:autoSpaceDE w:val="0"/>
        <w:autoSpaceDN w:val="0"/>
        <w:adjustRightInd w:val="0"/>
        <w:spacing w:after="0" w:line="240" w:lineRule="auto"/>
        <w:ind w:firstLine="800" w:firstLineChars="200"/>
        <w:jc w:val="both"/>
        <w:rPr>
          <w:rFonts w:ascii="仿宋_GB2312" w:hAnsi="仿宋_GB2312" w:eastAsia="仿宋_GB2312" w:cs="仿宋_GB2312"/>
          <w:color w:val="auto"/>
          <w:sz w:val="40"/>
          <w:szCs w:val="40"/>
        </w:rPr>
      </w:pPr>
    </w:p>
    <w:p>
      <w:pPr>
        <w:autoSpaceDE w:val="0"/>
        <w:autoSpaceDN w:val="0"/>
        <w:adjustRightInd w:val="0"/>
        <w:spacing w:after="0" w:line="240" w:lineRule="auto"/>
        <w:ind w:firstLine="800" w:firstLineChars="200"/>
        <w:jc w:val="both"/>
        <w:rPr>
          <w:rFonts w:ascii="仿宋_GB2312" w:hAnsi="仿宋_GB2312" w:eastAsia="仿宋_GB2312" w:cs="仿宋_GB2312"/>
          <w:color w:val="auto"/>
          <w:sz w:val="40"/>
          <w:szCs w:val="40"/>
        </w:rPr>
      </w:pPr>
    </w:p>
    <w:p>
      <w:pPr>
        <w:autoSpaceDE w:val="0"/>
        <w:autoSpaceDN w:val="0"/>
        <w:adjustRightInd w:val="0"/>
        <w:spacing w:after="0" w:line="240" w:lineRule="auto"/>
        <w:ind w:firstLine="800" w:firstLineChars="200"/>
        <w:jc w:val="both"/>
        <w:rPr>
          <w:rFonts w:ascii="仿宋_GB2312" w:hAnsi="仿宋_GB2312" w:eastAsia="仿宋_GB2312" w:cs="仿宋_GB2312"/>
          <w:color w:val="auto"/>
          <w:sz w:val="40"/>
          <w:szCs w:val="40"/>
        </w:rPr>
      </w:pPr>
    </w:p>
    <w:p>
      <w:pPr>
        <w:autoSpaceDE w:val="0"/>
        <w:autoSpaceDN w:val="0"/>
        <w:adjustRightInd w:val="0"/>
        <w:spacing w:after="0" w:line="240" w:lineRule="auto"/>
        <w:ind w:firstLine="800" w:firstLineChars="200"/>
        <w:jc w:val="both"/>
        <w:rPr>
          <w:rFonts w:ascii="仿宋_GB2312" w:hAnsi="仿宋_GB2312" w:eastAsia="仿宋_GB2312" w:cs="仿宋_GB2312"/>
          <w:color w:val="auto"/>
          <w:sz w:val="40"/>
          <w:szCs w:val="40"/>
        </w:rPr>
      </w:pPr>
    </w:p>
    <w:p>
      <w:pPr>
        <w:spacing w:after="0" w:line="240" w:lineRule="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bookmarkStart w:id="2" w:name="_GoBack"/>
      <w:bookmarkEnd w:id="2"/>
    </w:p>
    <w:p>
      <w:pPr>
        <w:spacing w:after="0" w:line="240" w:lineRule="auto"/>
        <w:rPr>
          <w:rFonts w:ascii="黑体" w:hAnsi="黑体" w:eastAsia="黑体" w:cs="黑体"/>
          <w:color w:val="auto"/>
          <w:sz w:val="32"/>
          <w:szCs w:val="32"/>
        </w:rPr>
      </w:pPr>
    </w:p>
    <w:p>
      <w:pPr>
        <w:autoSpaceDE w:val="0"/>
        <w:autoSpaceDN w:val="0"/>
        <w:adjustRightInd w:val="0"/>
        <w:spacing w:after="0" w:line="480" w:lineRule="exact"/>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国家电子商务示范基地综合评价指标</w:t>
      </w:r>
      <w:r>
        <w:rPr>
          <w:rFonts w:ascii="宋体" w:hAnsi="宋体" w:eastAsia="宋体" w:cs="宋体"/>
          <w:b/>
          <w:bCs/>
          <w:color w:val="auto"/>
          <w:sz w:val="36"/>
          <w:szCs w:val="36"/>
        </w:rPr>
        <w:t>体系</w:t>
      </w:r>
    </w:p>
    <w:p>
      <w:pPr>
        <w:autoSpaceDE w:val="0"/>
        <w:autoSpaceDN w:val="0"/>
        <w:adjustRightInd w:val="0"/>
        <w:spacing w:after="0" w:line="480" w:lineRule="exact"/>
        <w:ind w:firstLine="0" w:firstLineChars="0"/>
        <w:jc w:val="center"/>
        <w:rPr>
          <w:rFonts w:hint="eastAsia" w:ascii="宋体" w:hAnsi="宋体" w:eastAsia="宋体" w:cs="宋体"/>
          <w:b/>
          <w:bCs/>
          <w:color w:val="auto"/>
          <w:sz w:val="28"/>
          <w:szCs w:val="28"/>
          <w:lang w:eastAsia="zh-CN"/>
        </w:rPr>
      </w:pPr>
      <w:r>
        <w:rPr>
          <w:rFonts w:hint="eastAsia" w:ascii="华文楷体" w:hAnsi="华文楷体" w:eastAsia="华文楷体" w:cs="华文楷体"/>
          <w:b/>
          <w:bCs/>
          <w:color w:val="auto"/>
          <w:sz w:val="28"/>
          <w:szCs w:val="28"/>
          <w:lang w:eastAsia="zh-CN"/>
        </w:rPr>
        <w:t>（本表中的指标权重为示意值，最终权重根据专家德尔菲法确定）</w:t>
      </w:r>
    </w:p>
    <w:tbl>
      <w:tblPr>
        <w:tblStyle w:val="20"/>
        <w:tblW w:w="8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
        <w:gridCol w:w="1003"/>
        <w:gridCol w:w="1324"/>
        <w:gridCol w:w="859"/>
        <w:gridCol w:w="2834"/>
        <w:gridCol w:w="1107"/>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一级指标</w:t>
            </w:r>
          </w:p>
        </w:tc>
        <w:tc>
          <w:tcPr>
            <w:tcW w:w="100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权重</w:t>
            </w:r>
          </w:p>
        </w:tc>
        <w:tc>
          <w:tcPr>
            <w:tcW w:w="132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二级指标</w:t>
            </w:r>
          </w:p>
        </w:tc>
        <w:tc>
          <w:tcPr>
            <w:tcW w:w="85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权重</w:t>
            </w:r>
          </w:p>
        </w:tc>
        <w:tc>
          <w:tcPr>
            <w:tcW w:w="283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三级指标</w:t>
            </w:r>
          </w:p>
        </w:tc>
        <w:tc>
          <w:tcPr>
            <w:tcW w:w="110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105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承载能力</w:t>
            </w:r>
          </w:p>
        </w:tc>
        <w:tc>
          <w:tcPr>
            <w:tcW w:w="100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20.00%</w:t>
            </w: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基础硬件</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8.00%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电子商务企业建筑面积</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万平方米</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电子商务配套服务区面积</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万平方米</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平均网络带宽</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Mbps</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电商物流协同发展</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建设运营海外仓</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入驻企业</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12.00%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电子商务企业数量</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电子商务企业入驻率</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电子商务企业增长率</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入选全国商业科技创新应用优秀案例企业数量</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省级电子商务示范企业数量</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列入商务部“商贸流通业典型统计调查企业”的电子商务企业数量</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服务能力</w:t>
            </w:r>
          </w:p>
        </w:tc>
        <w:tc>
          <w:tcPr>
            <w:tcW w:w="100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25.00%</w:t>
            </w: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金融服务</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6.25%</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获得基地金融服务的电子商务</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企业数量</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电子商务企业获得投融资总额</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华文楷体" w:hAnsi="华文楷体" w:eastAsia="华文楷体" w:cs="华文楷体"/>
                <w:i w:val="0"/>
                <w:color w:val="auto"/>
                <w:sz w:val="24"/>
                <w:szCs w:val="24"/>
                <w:u w:val="none"/>
              </w:rPr>
            </w:pPr>
            <w:r>
              <w:rPr>
                <w:rFonts w:hint="eastAsia" w:ascii="华文楷体" w:hAnsi="华文楷体" w:eastAsia="华文楷体" w:cs="华文楷体"/>
                <w:i w:val="0"/>
                <w:color w:val="auto"/>
                <w:kern w:val="0"/>
                <w:sz w:val="24"/>
                <w:szCs w:val="24"/>
                <w:u w:val="none"/>
                <w:lang w:val="en-US" w:eastAsia="zh-CN" w:bidi="ar"/>
              </w:rPr>
              <w:t>人才服务</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7.50%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电子商务人才引进与培养政策</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华文楷体" w:hAnsi="华文楷体" w:eastAsia="华文楷体" w:cs="华文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年度电子商务培训人次</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人次</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华文楷体" w:hAnsi="华文楷体" w:eastAsia="华文楷体" w:cs="华文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为农村地区开展电子商务</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培训人次</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人次</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华文楷体" w:hAnsi="华文楷体" w:eastAsia="华文楷体" w:cs="华文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输送电子商务人才数量</w:t>
            </w:r>
          </w:p>
        </w:tc>
        <w:tc>
          <w:tcPr>
            <w:tcW w:w="1107"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105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孵化服务</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5.00%</w:t>
            </w:r>
          </w:p>
        </w:tc>
        <w:tc>
          <w:tcPr>
            <w:tcW w:w="2834"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在孵电子商务企业数量</w:t>
            </w:r>
          </w:p>
        </w:tc>
        <w:tc>
          <w:tcPr>
            <w:tcW w:w="1107"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电商企业孵化成功率</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公共服务</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6.25%</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专业服务</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行政服务</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保障能力</w:t>
            </w:r>
          </w:p>
        </w:tc>
        <w:tc>
          <w:tcPr>
            <w:tcW w:w="100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15.00%</w:t>
            </w: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党建水平</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4.50%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党员人数</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设立党组织的电商企业数量</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责任落实</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党风廉政</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党组织表彰</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环境营造</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4.50%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报告协调机制</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统计监测</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电商专项政策支持</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电商基地运营年限</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宣传交流</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典型经验</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绿色发展</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3.00%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制度规划</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宣传推广</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资金支持</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绿色仓配</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配套措施</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安全生产</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3.00%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安全审查</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管理制度</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应急预案</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排查隐患</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落实责任</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配套设施</w:t>
            </w:r>
          </w:p>
        </w:tc>
        <w:tc>
          <w:tcPr>
            <w:tcW w:w="1107"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auto" w:sz="4"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资金投入</w:t>
            </w:r>
          </w:p>
        </w:tc>
        <w:tc>
          <w:tcPr>
            <w:tcW w:w="1107"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安全事故</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示范能力</w:t>
            </w:r>
          </w:p>
        </w:tc>
        <w:tc>
          <w:tcPr>
            <w:tcW w:w="100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25.00%</w:t>
            </w: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发展规模与速度</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12.50%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电子商务交易额</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电子商务交易额增长率</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电子商务企业营收总额</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电子商务企业营收增长率</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电子商务企业缴税总额</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电子商务企业缴税增长率</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跨境电子商务交易额</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跨境电子商务交易额增长率</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示范带动</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3.75%</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电商企业研发成果数量</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电商企业创建商标品牌数</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“双品网购节”电商交易额</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“全国网上年货节”电商交易额</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进博会成交额</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促进传统产业数字化转型</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华文楷体" w:hAnsi="华文楷体" w:eastAsia="华文楷体" w:cs="华文楷体"/>
                <w:i w:val="0"/>
                <w:color w:val="auto"/>
                <w:sz w:val="24"/>
                <w:szCs w:val="24"/>
                <w:u w:val="none"/>
              </w:rPr>
            </w:pPr>
            <w:r>
              <w:rPr>
                <w:rFonts w:hint="eastAsia" w:ascii="华文楷体" w:hAnsi="华文楷体" w:eastAsia="华文楷体" w:cs="华文楷体"/>
                <w:i w:val="0"/>
                <w:color w:val="auto"/>
                <w:kern w:val="0"/>
                <w:sz w:val="24"/>
                <w:szCs w:val="24"/>
                <w:u w:val="none"/>
                <w:lang w:val="en-US" w:eastAsia="zh-CN" w:bidi="ar"/>
              </w:rPr>
              <w:t>数商兴农</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3.75%</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带动农村人口创业就业人数</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华文楷体" w:hAnsi="华文楷体" w:eastAsia="华文楷体" w:cs="华文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农特产品品牌数量</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华文楷体" w:hAnsi="华文楷体" w:eastAsia="华文楷体" w:cs="华文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助农销售额</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万元</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华文楷体" w:hAnsi="华文楷体" w:eastAsia="华文楷体" w:cs="华文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农村电商新基建</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吸纳就业</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5.00%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全体电子商务企业从业人数</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电子商务从业人员增长率</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吸纳农民工就业人数</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吸纳应届大学毕业生就业人数</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创新能力</w:t>
            </w:r>
          </w:p>
        </w:tc>
        <w:tc>
          <w:tcPr>
            <w:tcW w:w="100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15.00%</w:t>
            </w: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发展潜力</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6.00%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扶持资金</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规划发展</w:t>
            </w:r>
          </w:p>
        </w:tc>
        <w:tc>
          <w:tcPr>
            <w:tcW w:w="1107"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产学研合作</w:t>
            </w:r>
          </w:p>
        </w:tc>
        <w:tc>
          <w:tcPr>
            <w:tcW w:w="1107"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创新应用</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6.00%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技术模式创新鼓励措施</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技术模式创新应用成果</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新消费品牌培育</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电商直播基地</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行业规范</w:t>
            </w:r>
          </w:p>
        </w:tc>
        <w:tc>
          <w:tcPr>
            <w:tcW w:w="85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3.00%</w:t>
            </w: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电子商务行业标准数</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0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00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color w:val="auto"/>
                <w:sz w:val="24"/>
                <w:szCs w:val="24"/>
                <w:u w:val="none"/>
              </w:rPr>
            </w:pPr>
          </w:p>
        </w:tc>
        <w:tc>
          <w:tcPr>
            <w:tcW w:w="13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85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楷体" w:hAnsi="楷体" w:eastAsia="楷体" w:cs="楷体"/>
                <w:i w:val="0"/>
                <w:color w:val="auto"/>
                <w:sz w:val="24"/>
                <w:szCs w:val="24"/>
                <w:u w:val="none"/>
              </w:rPr>
            </w:pPr>
          </w:p>
        </w:tc>
        <w:tc>
          <w:tcPr>
            <w:tcW w:w="283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信用体系建设</w:t>
            </w:r>
          </w:p>
        </w:tc>
        <w:tc>
          <w:tcPr>
            <w:tcW w:w="110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是/否</w:t>
            </w:r>
          </w:p>
        </w:tc>
        <w:tc>
          <w:tcPr>
            <w:tcW w:w="1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r>
    </w:tbl>
    <w:p>
      <w:pPr>
        <w:autoSpaceDE w:val="0"/>
        <w:autoSpaceDN w:val="0"/>
        <w:adjustRightInd w:val="0"/>
        <w:spacing w:after="0" w:line="240" w:lineRule="auto"/>
        <w:ind w:firstLine="0" w:firstLineChars="0"/>
        <w:jc w:val="both"/>
        <w:rPr>
          <w:rFonts w:hint="eastAsia" w:ascii="宋体" w:hAnsi="宋体" w:eastAsia="宋体" w:cs="宋体"/>
          <w:b/>
          <w:bCs/>
          <w:color w:val="auto"/>
          <w:sz w:val="36"/>
          <w:szCs w:val="36"/>
          <w:lang w:eastAsia="zh-CN"/>
        </w:rPr>
      </w:pPr>
    </w:p>
    <w:p>
      <w:pPr>
        <w:autoSpaceDE w:val="0"/>
        <w:autoSpaceDN w:val="0"/>
        <w:adjustRightInd w:val="0"/>
        <w:spacing w:after="0" w:line="240" w:lineRule="auto"/>
        <w:ind w:firstLine="0" w:firstLineChars="0"/>
        <w:jc w:val="both"/>
        <w:rPr>
          <w:rFonts w:hint="eastAsia" w:ascii="仿宋_GB2312" w:hAnsi="仿宋_GB2312" w:eastAsia="仿宋_GB2312" w:cs="仿宋_GB2312"/>
          <w:color w:val="auto"/>
          <w:sz w:val="32"/>
          <w:szCs w:val="32"/>
        </w:rPr>
      </w:pPr>
    </w:p>
    <w:p>
      <w:pPr>
        <w:spacing w:after="0" w:line="240" w:lineRule="auto"/>
        <w:rPr>
          <w:rFonts w:ascii="仿宋" w:hAnsi="仿宋" w:eastAsia="仿宋" w:cs="宋体"/>
          <w:sz w:val="32"/>
          <w:szCs w:val="32"/>
        </w:rPr>
      </w:pPr>
    </w:p>
    <w:p>
      <w:pPr>
        <w:rPr>
          <w:rFonts w:ascii="仿宋" w:hAnsi="仿宋" w:eastAsia="仿宋" w:cs="宋体"/>
          <w:sz w:val="32"/>
          <w:szCs w:val="32"/>
        </w:rPr>
        <w:sectPr>
          <w:footerReference r:id="rId5" w:type="default"/>
          <w:pgSz w:w="11906" w:h="16838"/>
          <w:pgMar w:top="1440" w:right="1560" w:bottom="1318" w:left="1560" w:header="851" w:footer="992" w:gutter="0"/>
          <w:cols w:space="425" w:num="1"/>
          <w:docGrid w:type="lines" w:linePitch="312" w:charSpace="0"/>
        </w:sectPr>
      </w:pPr>
    </w:p>
    <w:p>
      <w:pPr>
        <w:spacing w:after="0" w:line="240" w:lineRule="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after="0" w:line="240" w:lineRule="auto"/>
        <w:ind w:left="2467" w:leftChars="300" w:hanging="1807" w:hangingChars="50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国家电子商务示范基地</w:t>
      </w:r>
    </w:p>
    <w:p>
      <w:pPr>
        <w:spacing w:after="0" w:line="240" w:lineRule="auto"/>
        <w:ind w:left="2467" w:leftChars="300" w:hanging="1807" w:hangingChars="500"/>
        <w:jc w:val="center"/>
        <w:rPr>
          <w:rFonts w:ascii="黑体" w:hAnsi="黑体" w:eastAsia="黑体" w:cs="黑体"/>
          <w:sz w:val="32"/>
          <w:szCs w:val="32"/>
        </w:rPr>
      </w:pPr>
      <w:r>
        <w:rPr>
          <w:rFonts w:hint="eastAsia" w:asciiTheme="majorEastAsia" w:hAnsiTheme="majorEastAsia" w:eastAsiaTheme="majorEastAsia" w:cstheme="majorEastAsia"/>
          <w:b/>
          <w:bCs/>
          <w:sz w:val="36"/>
          <w:szCs w:val="36"/>
        </w:rPr>
        <w:t>和其他电子商务产业基地经营服务情况报告表</w:t>
      </w:r>
    </w:p>
    <w:p>
      <w:pPr>
        <w:spacing w:after="0" w:line="400" w:lineRule="exact"/>
        <w:jc w:val="center"/>
        <w:rPr>
          <w:rFonts w:cs="Times New Roman" w:asciiTheme="majorEastAsia" w:hAnsiTheme="majorEastAsia" w:eastAsiaTheme="majorEastAsia"/>
          <w:b/>
          <w:sz w:val="36"/>
          <w:szCs w:val="36"/>
        </w:rPr>
      </w:pPr>
    </w:p>
    <w:p>
      <w:pPr>
        <w:spacing w:after="0" w:line="400" w:lineRule="exact"/>
        <w:jc w:val="center"/>
        <w:rPr>
          <w:rFonts w:cs="Times New Roman" w:asciiTheme="majorEastAsia" w:hAnsiTheme="majorEastAsia" w:eastAsiaTheme="majorEastAsia"/>
          <w:b/>
          <w:sz w:val="32"/>
          <w:szCs w:val="32"/>
        </w:rPr>
      </w:pPr>
      <w:r>
        <w:rPr>
          <w:rFonts w:ascii="宋体" w:hAnsi="宋体" w:eastAsia="宋体" w:cs="Times New Roman"/>
          <w:sz w:val="28"/>
          <w:szCs w:val="28"/>
        </w:rPr>
        <w:t xml:space="preserve">                                      </w:t>
      </w:r>
      <w:r>
        <w:rPr>
          <w:rFonts w:hint="eastAsia" w:ascii="宋体" w:hAnsi="宋体" w:eastAsia="宋体" w:cs="Times New Roman"/>
          <w:szCs w:val="21"/>
        </w:rPr>
        <w:t>填表时间：</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bl>
      <w:tblPr>
        <w:tblStyle w:val="2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879"/>
        <w:gridCol w:w="1533"/>
        <w:gridCol w:w="993"/>
        <w:gridCol w:w="1312"/>
        <w:gridCol w:w="105"/>
        <w:gridCol w:w="987"/>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Times New Roman"/>
                <w:b/>
                <w:sz w:val="18"/>
                <w:szCs w:val="18"/>
              </w:rPr>
            </w:pPr>
            <w:r>
              <w:rPr>
                <w:rFonts w:hint="eastAsia" w:ascii="宋体" w:hAnsi="宋体" w:eastAsia="宋体" w:cs="Times New Roman"/>
                <w:b/>
                <w:sz w:val="18"/>
                <w:szCs w:val="18"/>
              </w:rPr>
              <w:t>基地名称</w:t>
            </w:r>
          </w:p>
        </w:tc>
        <w:tc>
          <w:tcPr>
            <w:tcW w:w="3405"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Times New Roman"/>
                <w:sz w:val="18"/>
                <w:szCs w:val="18"/>
              </w:rPr>
            </w:pPr>
            <w:r>
              <w:rPr>
                <w:rFonts w:hint="eastAsia" w:ascii="宋体" w:hAnsi="宋体" w:eastAsia="宋体" w:cs="Times New Roman"/>
                <w:b/>
                <w:sz w:val="18"/>
                <w:szCs w:val="18"/>
              </w:rPr>
              <w:t>商务主管部门</w:t>
            </w:r>
          </w:p>
        </w:tc>
        <w:tc>
          <w:tcPr>
            <w:tcW w:w="3129"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地址与范围</w:t>
            </w:r>
            <w:r>
              <w:rPr>
                <w:rStyle w:val="27"/>
                <w:rFonts w:ascii="宋体" w:hAnsi="宋体" w:eastAsia="宋体" w:cs="Times New Roman"/>
                <w:b/>
                <w:sz w:val="18"/>
                <w:szCs w:val="18"/>
              </w:rPr>
              <w:footnoteReference w:id="0"/>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jc w:val="center"/>
        </w:trPr>
        <w:tc>
          <w:tcPr>
            <w:tcW w:w="1416" w:type="dxa"/>
            <w:vMerge w:val="restart"/>
            <w:tcBorders>
              <w:top w:val="single" w:color="auto" w:sz="4" w:space="0"/>
              <w:left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运营机构</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名称</w:t>
            </w:r>
          </w:p>
        </w:tc>
        <w:tc>
          <w:tcPr>
            <w:tcW w:w="6967"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tcBorders>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类型</w:t>
            </w:r>
          </w:p>
        </w:tc>
        <w:tc>
          <w:tcPr>
            <w:tcW w:w="6967"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r>
              <w:rPr>
                <w:rFonts w:hint="eastAsia" w:ascii="宋体" w:hAnsi="宋体" w:eastAsia="宋体" w:cs="Times New Roman"/>
                <w:sz w:val="18"/>
                <w:szCs w:val="18"/>
              </w:rPr>
              <w:t>□政府部门</w:t>
            </w:r>
            <w:r>
              <w:rPr>
                <w:rFonts w:ascii="宋体" w:hAnsi="宋体" w:eastAsia="宋体" w:cs="Times New Roman"/>
                <w:sz w:val="18"/>
                <w:szCs w:val="18"/>
              </w:rPr>
              <w:t xml:space="preserve">  </w:t>
            </w:r>
            <w:r>
              <w:rPr>
                <w:rFonts w:hint="eastAsia" w:ascii="宋体" w:hAnsi="宋体" w:eastAsia="宋体" w:cs="Times New Roman"/>
                <w:sz w:val="18"/>
                <w:szCs w:val="18"/>
              </w:rPr>
              <w:t>□事业</w:t>
            </w:r>
            <w:r>
              <w:rPr>
                <w:rFonts w:ascii="宋体" w:hAnsi="宋体" w:eastAsia="宋体" w:cs="Times New Roman"/>
                <w:sz w:val="18"/>
                <w:szCs w:val="18"/>
              </w:rPr>
              <w:t xml:space="preserve">单位  </w:t>
            </w:r>
            <w:r>
              <w:rPr>
                <w:rFonts w:hint="eastAsia" w:ascii="宋体" w:hAnsi="宋体" w:eastAsia="宋体" w:cs="Times New Roman"/>
                <w:sz w:val="18"/>
                <w:szCs w:val="18"/>
              </w:rPr>
              <w:t>□国有或</w:t>
            </w:r>
            <w:r>
              <w:rPr>
                <w:rFonts w:ascii="宋体" w:hAnsi="宋体" w:eastAsia="宋体" w:cs="Times New Roman"/>
                <w:sz w:val="18"/>
                <w:szCs w:val="18"/>
              </w:rPr>
              <w:t xml:space="preserve">国有控股企业  </w:t>
            </w:r>
            <w:r>
              <w:rPr>
                <w:rFonts w:hint="eastAsia" w:ascii="宋体" w:hAnsi="宋体" w:eastAsia="宋体" w:cs="Times New Roman"/>
                <w:sz w:val="18"/>
                <w:szCs w:val="18"/>
              </w:rPr>
              <w:t>□民营企业</w:t>
            </w:r>
            <w:r>
              <w:rPr>
                <w:rFonts w:ascii="宋体" w:hAnsi="宋体" w:eastAsia="宋体" w:cs="Times New Roman"/>
                <w:sz w:val="18"/>
                <w:szCs w:val="18"/>
              </w:rPr>
              <w:t xml:space="preserve">  </w:t>
            </w:r>
            <w:r>
              <w:rPr>
                <w:rFonts w:hint="eastAsia" w:ascii="宋体" w:hAnsi="宋体" w:eastAsia="宋体" w:cs="Times New Roman"/>
                <w:sz w:val="18"/>
                <w:szCs w:val="18"/>
              </w:rPr>
              <w:t>□其他</w:t>
            </w:r>
            <w:r>
              <w:rPr>
                <w:rFonts w:ascii="宋体" w:hAnsi="宋体" w:eastAsia="宋体" w:cs="宋体"/>
                <w:sz w:val="18"/>
                <w:szCs w:val="18"/>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jc w:val="center"/>
        </w:trPr>
        <w:tc>
          <w:tcPr>
            <w:tcW w:w="1416" w:type="dxa"/>
            <w:vMerge w:val="restart"/>
            <w:tcBorders>
              <w:left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基地</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主要负责人</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姓名</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r>
              <w:rPr>
                <w:rFonts w:hint="eastAsia" w:ascii="宋体" w:hAnsi="宋体" w:eastAsia="宋体" w:cs="Times New Roman"/>
                <w:sz w:val="18"/>
                <w:szCs w:val="18"/>
              </w:rPr>
              <w:t>工作电话</w:t>
            </w:r>
          </w:p>
        </w:tc>
        <w:tc>
          <w:tcPr>
            <w:tcW w:w="203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16" w:type="dxa"/>
            <w:vMerge w:val="continue"/>
            <w:tcBorders>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手机</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微信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r>
              <w:rPr>
                <w:rFonts w:hint="eastAsia" w:ascii="宋体" w:hAnsi="宋体" w:eastAsia="宋体" w:cs="Times New Roman"/>
                <w:sz w:val="18"/>
                <w:szCs w:val="18"/>
              </w:rPr>
              <w:t>电子邮件</w:t>
            </w:r>
          </w:p>
        </w:tc>
        <w:tc>
          <w:tcPr>
            <w:tcW w:w="203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基地联系人</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姓名</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工作电话</w:t>
            </w:r>
          </w:p>
        </w:tc>
        <w:tc>
          <w:tcPr>
            <w:tcW w:w="203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手机</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微信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电子邮件</w:t>
            </w:r>
          </w:p>
        </w:tc>
        <w:tc>
          <w:tcPr>
            <w:tcW w:w="203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Cs w:val="21"/>
              </w:rPr>
            </w:pPr>
            <w:r>
              <w:rPr>
                <w:rFonts w:hint="eastAsia" w:ascii="华文楷体" w:hAnsi="华文楷体" w:eastAsia="华文楷体" w:cs="华文楷体"/>
                <w:b/>
                <w:szCs w:val="21"/>
              </w:rPr>
              <w:t>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基础硬件</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1.电子商务企业建筑面积____________万平方米。</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2.电子商务配套服务区面积____________万平方米。</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3.平均网络带宽____________Mbps。</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4.是否建有配套或协同发展的快递物流园区：□是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5.是否在境外建设运营跨境电商海外仓：□是（所在国家：________________）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入驻企业</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bookmarkStart w:id="0" w:name="OLE_LINK9"/>
            <w:bookmarkStart w:id="1" w:name="OLE_LINK8"/>
            <w:r>
              <w:rPr>
                <w:rFonts w:hint="eastAsia" w:asciiTheme="majorEastAsia" w:hAnsiTheme="majorEastAsia" w:eastAsiaTheme="majorEastAsia" w:cstheme="majorEastAsia"/>
                <w:sz w:val="18"/>
                <w:szCs w:val="18"/>
              </w:rPr>
              <w:t>6.截至2022年底，电子商务企业___________个，入驻率______%，增长率_______%，其中，涉农电商企业_______个。</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7.入选全国商业科技创新应用优秀案例企业___________个。</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8.省级电子商务示范企业____________个。</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9.列入商务部“商贸流通业典型统计调查企业”的电子商务企业____________个。</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Cs w:val="21"/>
              </w:rPr>
            </w:pPr>
            <w:r>
              <w:rPr>
                <w:rFonts w:hint="eastAsia" w:ascii="华文楷体" w:hAnsi="华文楷体" w:eastAsia="华文楷体" w:cs="华文楷体"/>
                <w:b/>
                <w:szCs w:val="21"/>
              </w:rPr>
              <w:t>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金融服务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.2022年，获得基地金融服务的电子商务企业____________个。</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.2022年，电子商务企业获得投融资总额____________万元。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人才服务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rPr>
              <w:t>.基地是否设立或实施电子商务人才引进政策：□是  □否；是否设立或实施电子商务人才培养政策：</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3</w:t>
            </w:r>
            <w:r>
              <w:rPr>
                <w:rFonts w:hint="eastAsia" w:asciiTheme="majorEastAsia" w:hAnsiTheme="majorEastAsia" w:eastAsiaTheme="majorEastAsia" w:cstheme="majorEastAsia"/>
                <w:sz w:val="18"/>
                <w:szCs w:val="18"/>
              </w:rPr>
              <w:t>.2022年，电子商务培训__________人次，其中，为农村地区开展电子商务培训_______人次。</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4</w:t>
            </w:r>
            <w:r>
              <w:rPr>
                <w:rFonts w:hint="eastAsia" w:asciiTheme="majorEastAsia" w:hAnsiTheme="majorEastAsia" w:eastAsiaTheme="majorEastAsia" w:cstheme="majorEastAsia"/>
                <w:sz w:val="18"/>
                <w:szCs w:val="18"/>
              </w:rPr>
              <w:t>.2022年，输送电子商务人才____________人，其中，输送农村电商“带头人”_______人。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孵化服务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rPr>
              <w:t>.2022年底，在孵电子商务企业____________个。</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rPr>
              <w:t>.电商企业孵化成功率__________%。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公共服务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7</w:t>
            </w:r>
            <w:r>
              <w:rPr>
                <w:rFonts w:hint="eastAsia" w:asciiTheme="majorEastAsia" w:hAnsiTheme="majorEastAsia" w:eastAsiaTheme="majorEastAsia" w:cstheme="majorEastAsia"/>
                <w:sz w:val="18"/>
                <w:szCs w:val="18"/>
              </w:rPr>
              <w:t xml:space="preserve">.为入驻企业提供的专业服务类型： □仓储物流 □摄影美工 </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客服托管 □代运营 □会计事务 □专利申办 □评估咨询  □法律支持 □其他____________________________________。</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8</w:t>
            </w:r>
            <w:r>
              <w:rPr>
                <w:rFonts w:hint="eastAsia" w:asciiTheme="majorEastAsia" w:hAnsiTheme="majorEastAsia" w:eastAsiaTheme="majorEastAsia" w:cstheme="majorEastAsia"/>
                <w:sz w:val="18"/>
                <w:szCs w:val="18"/>
              </w:rPr>
              <w:t>.为入驻企业提供的行政服务类型：□工商注册 □年审年检 □税务登记 □项目申报 □其他行政便利化服务____________。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华文楷体" w:hAnsi="华文楷体" w:eastAsia="华文楷体" w:cs="华文楷体"/>
                <w:b/>
                <w:szCs w:val="21"/>
              </w:rPr>
              <w:t>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党建水平</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19</w:t>
            </w:r>
            <w:r>
              <w:rPr>
                <w:rFonts w:hint="eastAsia" w:asciiTheme="majorEastAsia" w:hAnsiTheme="majorEastAsia" w:eastAsiaTheme="majorEastAsia" w:cstheme="majorEastAsia"/>
                <w:sz w:val="18"/>
                <w:szCs w:val="18"/>
              </w:rPr>
              <w:t>.2022年底，基地内拥有电商企业党员___________人。</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.是否按要求及时健全组织：□是 □否；2022年底，设立党组织的电商企业_______个，其中，亮明党组织标识和党员身份的企业________个；共设立党委_________个，党总支______个，党支部_______个。</w:t>
            </w:r>
          </w:p>
          <w:p>
            <w:pPr>
              <w:pStyle w:val="31"/>
              <w:spacing w:after="0" w:line="400" w:lineRule="exact"/>
              <w:ind w:firstLine="0" w:firstLineChars="0"/>
              <w:contextualSpacing/>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.落实党建工作责任制，开展了哪些工作：□将党建工作同业务工作同部署、同检查、同总结；</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讲专题党课；□落实“三会一课”制度；</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开展理想信念和法规法纪教育；</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开展经常性思想工作；□召开民主生活会、组织生活会，开展党建述职、民主评议党员活动；</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积极发展党员；</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收缴党费并合理使用管理；</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加强流动党员管理，党组织关系</w:t>
            </w:r>
            <w:r>
              <w:rPr>
                <w:rFonts w:hint="eastAsia" w:asciiTheme="majorEastAsia" w:hAnsiTheme="majorEastAsia" w:eastAsiaTheme="majorEastAsia" w:cstheme="majorEastAsia"/>
                <w:sz w:val="18"/>
                <w:szCs w:val="18"/>
                <w:lang w:eastAsia="zh-CN"/>
              </w:rPr>
              <w:t>接转</w:t>
            </w:r>
            <w:r>
              <w:rPr>
                <w:rFonts w:hint="eastAsia" w:asciiTheme="majorEastAsia" w:hAnsiTheme="majorEastAsia" w:eastAsiaTheme="majorEastAsia" w:cstheme="majorEastAsia"/>
                <w:sz w:val="18"/>
                <w:szCs w:val="18"/>
              </w:rPr>
              <w:t>及时规范到位；</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依法稳妥处置不合格党员。</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rPr>
              <w:t>.加强党风廉政建设，主要有哪些做法：□党组织执行政治纪律和政治规矩；□定期开展党风廉政建设和反腐倡廉教育。</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3</w:t>
            </w:r>
            <w:r>
              <w:rPr>
                <w:rFonts w:hint="eastAsia" w:asciiTheme="majorEastAsia" w:hAnsiTheme="majorEastAsia" w:eastAsiaTheme="majorEastAsia" w:cstheme="majorEastAsia"/>
                <w:sz w:val="18"/>
                <w:szCs w:val="18"/>
              </w:rPr>
              <w:t>.受到上级党组织表彰先进党委、党总支、党支部：□全国  □省级  □地市级  □县级。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环境营造</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4</w:t>
            </w:r>
            <w:r>
              <w:rPr>
                <w:rFonts w:hint="eastAsia" w:asciiTheme="majorEastAsia" w:hAnsiTheme="majorEastAsia" w:eastAsiaTheme="majorEastAsia" w:cstheme="majorEastAsia"/>
                <w:sz w:val="18"/>
                <w:szCs w:val="18"/>
              </w:rPr>
              <w:t>.是否与地方商务主管部门建立报告协调机制：□是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rPr>
              <w:t>.是否开展电子商务统计监测工作：□是 □否；是否及时上报信息、数据并保证数据的真实准确：</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rPr>
              <w:t>.基地所在地方是否制定并实施支持基地电子商务发展和示范建设的专项政策：□是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7</w:t>
            </w:r>
            <w:r>
              <w:rPr>
                <w:rFonts w:hint="eastAsia" w:asciiTheme="majorEastAsia" w:hAnsiTheme="majorEastAsia" w:eastAsiaTheme="majorEastAsia" w:cstheme="majorEastAsia"/>
                <w:sz w:val="18"/>
                <w:szCs w:val="18"/>
              </w:rPr>
              <w:t>.基地运营年限____________年。</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8</w:t>
            </w:r>
            <w:r>
              <w:rPr>
                <w:rFonts w:hint="eastAsia" w:asciiTheme="majorEastAsia" w:hAnsiTheme="majorEastAsia" w:eastAsiaTheme="majorEastAsia" w:cstheme="majorEastAsia"/>
                <w:sz w:val="18"/>
                <w:szCs w:val="18"/>
              </w:rPr>
              <w:t>.是否及时总结好经验、好做法，梳理典型案例，在各种媒体进行宣传推广：□是（媒体名称为__________________） □否；是否通过会议、论坛、交流活动等开展政产学研合作：□是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asciiTheme="majorEastAsia" w:hAnsiTheme="majorEastAsia" w:eastAsiaTheme="majorEastAsia" w:cstheme="majorEastAsia"/>
                <w:color w:val="auto"/>
                <w:sz w:val="18"/>
                <w:szCs w:val="18"/>
              </w:rPr>
              <w:t>29</w:t>
            </w:r>
            <w:r>
              <w:rPr>
                <w:rFonts w:hint="eastAsia" w:asciiTheme="majorEastAsia" w:hAnsiTheme="majorEastAsia" w:eastAsiaTheme="majorEastAsia" w:cstheme="majorEastAsia"/>
                <w:color w:val="auto"/>
                <w:sz w:val="18"/>
                <w:szCs w:val="18"/>
              </w:rPr>
              <w:t>.相关经验做法获得商务部肯定：</w:t>
            </w:r>
            <w:r>
              <w:rPr>
                <w:rFonts w:hint="eastAsia" w:asciiTheme="majorEastAsia" w:hAnsiTheme="majorEastAsia" w:eastAsiaTheme="majorEastAsia" w:cstheme="majorEastAsia"/>
                <w:color w:val="auto"/>
                <w:sz w:val="18"/>
                <w:szCs w:val="18"/>
              </w:rPr>
              <w:sym w:font="Wingdings 2" w:char="00A3"/>
            </w:r>
            <w:r>
              <w:rPr>
                <w:rFonts w:hint="eastAsia" w:asciiTheme="majorEastAsia" w:hAnsiTheme="majorEastAsia" w:eastAsiaTheme="majorEastAsia" w:cstheme="majorEastAsia"/>
                <w:color w:val="auto"/>
                <w:sz w:val="18"/>
                <w:szCs w:val="18"/>
              </w:rPr>
              <w:t xml:space="preserve">在全国性会议进行交流； </w:t>
            </w:r>
            <w:r>
              <w:rPr>
                <w:rFonts w:hint="eastAsia" w:asciiTheme="majorEastAsia" w:hAnsiTheme="majorEastAsia" w:eastAsiaTheme="majorEastAsia" w:cstheme="majorEastAsia"/>
                <w:color w:val="auto"/>
                <w:sz w:val="18"/>
                <w:szCs w:val="18"/>
              </w:rPr>
              <w:sym w:font="Wingdings 2" w:char="00A3"/>
            </w:r>
            <w:r>
              <w:rPr>
                <w:rFonts w:hint="eastAsia" w:asciiTheme="majorEastAsia" w:hAnsiTheme="majorEastAsia" w:eastAsiaTheme="majorEastAsia" w:cstheme="majorEastAsia"/>
                <w:color w:val="auto"/>
                <w:sz w:val="18"/>
                <w:szCs w:val="18"/>
              </w:rPr>
              <w:t xml:space="preserve">入选商务部编发国家电子商务示范基地案例集； </w:t>
            </w:r>
            <w:r>
              <w:rPr>
                <w:rFonts w:hint="eastAsia" w:asciiTheme="majorEastAsia" w:hAnsiTheme="majorEastAsia" w:eastAsiaTheme="majorEastAsia" w:cstheme="majorEastAsia"/>
                <w:color w:val="auto"/>
                <w:sz w:val="18"/>
                <w:szCs w:val="18"/>
              </w:rPr>
              <w:sym w:font="Wingdings 2" w:char="00A3"/>
            </w:r>
            <w:r>
              <w:rPr>
                <w:rFonts w:hint="eastAsia" w:asciiTheme="majorEastAsia" w:hAnsiTheme="majorEastAsia" w:eastAsiaTheme="majorEastAsia" w:cstheme="majorEastAsia"/>
                <w:color w:val="auto"/>
                <w:sz w:val="18"/>
                <w:szCs w:val="18"/>
              </w:rPr>
              <w:t>被商务部相关刊物转载； □国际商报或商务微新闻进行报道。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ascii="宋体" w:hAnsi="宋体" w:eastAsia="宋体" w:cs="Times New Roman"/>
                <w:b/>
                <w:sz w:val="18"/>
                <w:szCs w:val="18"/>
              </w:rPr>
              <w:t>绿色发展</w:t>
            </w:r>
          </w:p>
          <w:p>
            <w:pPr>
              <w:spacing w:after="0" w:line="400" w:lineRule="exact"/>
              <w:contextualSpacing/>
              <w:jc w:val="center"/>
              <w:rPr>
                <w:rFonts w:ascii="宋体" w:hAnsi="宋体" w:eastAsia="宋体" w:cs="Times New Roman"/>
                <w:b/>
                <w:sz w:val="18"/>
                <w:szCs w:val="18"/>
              </w:rPr>
            </w:pPr>
          </w:p>
          <w:p>
            <w:pPr>
              <w:spacing w:after="0" w:line="400" w:lineRule="exact"/>
              <w:contextualSpacing/>
              <w:jc w:val="center"/>
              <w:rPr>
                <w:rFonts w:ascii="宋体" w:hAnsi="宋体" w:eastAsia="宋体" w:cs="Times New Roman"/>
                <w:b/>
                <w:sz w:val="18"/>
                <w:szCs w:val="18"/>
              </w:rPr>
            </w:pP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.是否制定基地绿色发展规划或促进基地内企业绿色发展的激励措施：□是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.是否在基地内开展绿色环保政策法规方面的宣传推广活动：□是 □否；是否组织相关培训：□是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rPr>
              <w:t>.是否安排支持企业绿色发展资金：□是 □否；基地内开展数字化运营的企业________家，占比_______ %。</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3</w:t>
            </w:r>
            <w:r>
              <w:rPr>
                <w:rFonts w:hint="eastAsia" w:asciiTheme="majorEastAsia" w:hAnsiTheme="majorEastAsia" w:eastAsiaTheme="majorEastAsia" w:cstheme="majorEastAsia"/>
                <w:sz w:val="18"/>
                <w:szCs w:val="18"/>
              </w:rPr>
              <w:t>.是否建设绿色仓配设施：□是 □否 数量：__________个；是否开展企业资源共享：□是 □否，共享资源主要为：__________________；基地是否配备新能源、清洁能源车辆：</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□否，数量_________ 辆。</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4</w:t>
            </w:r>
            <w:r>
              <w:rPr>
                <w:rFonts w:hint="eastAsia" w:asciiTheme="majorEastAsia" w:hAnsiTheme="majorEastAsia" w:eastAsiaTheme="majorEastAsia" w:cstheme="majorEastAsia"/>
                <w:sz w:val="18"/>
                <w:szCs w:val="18"/>
              </w:rPr>
              <w:t>.是否建设节水、节电、节气系统：□是 □否；是否配备垃圾分类配套设施：□是 □否，数量：____________个；其他节能增效举措：________________________。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安全</w:t>
            </w:r>
            <w:r>
              <w:rPr>
                <w:rFonts w:ascii="宋体" w:hAnsi="宋体" w:eastAsia="宋体" w:cs="Times New Roman"/>
                <w:b/>
                <w:sz w:val="18"/>
                <w:szCs w:val="18"/>
              </w:rPr>
              <w:t>生产</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rPr>
              <w:t>.是否严格入驻基地项目安全条件审查和准入把关，将不符合安全生产要求的企业淘汰退出基地：□是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rPr>
              <w:t>.是否制定基地安全生产管理制度：□是 □否；基地主要负责人作为法定的安全生产第一责任人，是否负责安全生产工作：□是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7</w:t>
            </w:r>
            <w:r>
              <w:rPr>
                <w:rFonts w:hint="eastAsia" w:asciiTheme="majorEastAsia" w:hAnsiTheme="majorEastAsia" w:eastAsiaTheme="majorEastAsia" w:cstheme="majorEastAsia"/>
                <w:sz w:val="18"/>
                <w:szCs w:val="18"/>
              </w:rPr>
              <w:t>.是否制定火灾等突发事件应急处置预案：□是 □否；是否定期组织开展消防等突发事件演练：□是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8</w:t>
            </w:r>
            <w:r>
              <w:rPr>
                <w:rFonts w:hint="eastAsia" w:asciiTheme="majorEastAsia" w:hAnsiTheme="majorEastAsia" w:eastAsiaTheme="majorEastAsia" w:cstheme="majorEastAsia"/>
                <w:sz w:val="18"/>
                <w:szCs w:val="18"/>
              </w:rPr>
              <w:t xml:space="preserve">.是否定期对基地和基地内企业的水、电、油、气及仓储物流等设备设施等进行维护、检查，及时排查整改安全隐患：□是 </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39</w:t>
            </w:r>
            <w:r>
              <w:rPr>
                <w:rFonts w:hint="eastAsia" w:asciiTheme="majorEastAsia" w:hAnsiTheme="majorEastAsia" w:eastAsiaTheme="majorEastAsia" w:cstheme="majorEastAsia"/>
                <w:sz w:val="18"/>
                <w:szCs w:val="18"/>
              </w:rPr>
              <w:t xml:space="preserve">.是否督促基地内企业全面落实安全生产责任：□是 □否，主要督促手段和激励措施： ____________________________________________。     </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.是否定期完善有利于安全生产的公用工程配套和安全保障设施：□是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.2022年，基地共投入安全生产建设资金______万元。</w:t>
            </w:r>
          </w:p>
          <w:p>
            <w:pPr>
              <w:pStyle w:val="31"/>
              <w:spacing w:after="0" w:line="400" w:lineRule="exact"/>
              <w:ind w:firstLine="0" w:firstLineChars="0"/>
              <w:contextualSpacing/>
              <w:rPr>
                <w:rFonts w:ascii="宋体" w:hAnsi="宋体" w:eastAsia="宋体" w:cs="Times New Roman"/>
                <w:sz w:val="18"/>
                <w:szCs w:val="18"/>
                <w:lang w:val="en"/>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rPr>
              <w:t>.2022年以来，是否发生较大或重特大生产安全事故：□是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Cs w:val="21"/>
              </w:rPr>
            </w:pPr>
            <w:r>
              <w:rPr>
                <w:rFonts w:hint="eastAsia" w:ascii="华文楷体" w:hAnsi="华文楷体" w:eastAsia="华文楷体" w:cs="华文楷体"/>
                <w:b/>
                <w:szCs w:val="21"/>
              </w:rPr>
              <w:t>示范能力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发展速度</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与规模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3</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年，电子商务交易总额</w:t>
            </w:r>
            <w:r>
              <w:rPr>
                <w:rFonts w:asciiTheme="majorEastAsia" w:hAnsiTheme="majorEastAsia" w:eastAsiaTheme="majorEastAsia" w:cstheme="majorEastAsia"/>
                <w:sz w:val="18"/>
                <w:szCs w:val="18"/>
              </w:rPr>
              <w:t>____________</w:t>
            </w:r>
            <w:r>
              <w:rPr>
                <w:rFonts w:hint="eastAsia" w:asciiTheme="majorEastAsia" w:hAnsiTheme="majorEastAsia" w:eastAsiaTheme="majorEastAsia" w:cstheme="majorEastAsia"/>
                <w:sz w:val="18"/>
                <w:szCs w:val="18"/>
              </w:rPr>
              <w:t>万元，增长率</w:t>
            </w:r>
            <w:r>
              <w:rPr>
                <w:rFonts w:asciiTheme="majorEastAsia" w:hAnsiTheme="majorEastAsia" w:eastAsiaTheme="majorEastAsia" w:cstheme="majorEastAsia"/>
                <w:sz w:val="18"/>
                <w:szCs w:val="18"/>
              </w:rPr>
              <w:t>______%</w:t>
            </w:r>
            <w:r>
              <w:rPr>
                <w:rFonts w:hint="eastAsia" w:asciiTheme="majorEastAsia" w:hAnsiTheme="majorEastAsia" w:eastAsiaTheme="majorEastAsia" w:cstheme="majorEastAsia"/>
                <w:sz w:val="18"/>
                <w:szCs w:val="18"/>
              </w:rPr>
              <w:t>。</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4</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2022年</w:t>
            </w:r>
            <w:r>
              <w:rPr>
                <w:rFonts w:hint="eastAsia" w:asciiTheme="majorEastAsia" w:hAnsiTheme="majorEastAsia" w:eastAsiaTheme="majorEastAsia" w:cstheme="majorEastAsia"/>
                <w:sz w:val="18"/>
                <w:szCs w:val="18"/>
              </w:rPr>
              <w:t>，电子商务企业营收总额</w:t>
            </w:r>
            <w:r>
              <w:rPr>
                <w:rFonts w:asciiTheme="majorEastAsia" w:hAnsiTheme="majorEastAsia" w:eastAsiaTheme="majorEastAsia" w:cstheme="majorEastAsia"/>
                <w:sz w:val="18"/>
                <w:szCs w:val="18"/>
              </w:rPr>
              <w:t>___________</w:t>
            </w:r>
            <w:r>
              <w:rPr>
                <w:rFonts w:hint="eastAsia" w:asciiTheme="majorEastAsia" w:hAnsiTheme="majorEastAsia" w:eastAsiaTheme="majorEastAsia" w:cstheme="majorEastAsia"/>
                <w:sz w:val="18"/>
                <w:szCs w:val="18"/>
              </w:rPr>
              <w:t>万元，增长率</w:t>
            </w:r>
            <w:r>
              <w:rPr>
                <w:rFonts w:asciiTheme="majorEastAsia" w:hAnsiTheme="majorEastAsia" w:eastAsiaTheme="majorEastAsia" w:cstheme="majorEastAsia"/>
                <w:sz w:val="18"/>
                <w:szCs w:val="18"/>
              </w:rPr>
              <w:t>______%</w:t>
            </w:r>
            <w:r>
              <w:rPr>
                <w:rFonts w:hint="eastAsia" w:asciiTheme="majorEastAsia" w:hAnsiTheme="majorEastAsia" w:eastAsiaTheme="majorEastAsia" w:cstheme="majorEastAsia"/>
                <w:sz w:val="18"/>
                <w:szCs w:val="18"/>
              </w:rPr>
              <w:t>。</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2022年，</w:t>
            </w:r>
            <w:r>
              <w:rPr>
                <w:rFonts w:hint="eastAsia" w:asciiTheme="majorEastAsia" w:hAnsiTheme="majorEastAsia" w:eastAsiaTheme="majorEastAsia" w:cstheme="majorEastAsia"/>
                <w:sz w:val="18"/>
                <w:szCs w:val="18"/>
              </w:rPr>
              <w:t>电子商务企业缴税总额</w:t>
            </w:r>
            <w:r>
              <w:rPr>
                <w:rFonts w:asciiTheme="majorEastAsia" w:hAnsiTheme="majorEastAsia" w:eastAsiaTheme="majorEastAsia" w:cstheme="majorEastAsia"/>
                <w:sz w:val="18"/>
                <w:szCs w:val="18"/>
              </w:rPr>
              <w:t>___________</w:t>
            </w:r>
            <w:r>
              <w:rPr>
                <w:rFonts w:hint="eastAsia" w:asciiTheme="majorEastAsia" w:hAnsiTheme="majorEastAsia" w:eastAsiaTheme="majorEastAsia" w:cstheme="majorEastAsia"/>
                <w:sz w:val="18"/>
                <w:szCs w:val="18"/>
              </w:rPr>
              <w:t>万元，增长率</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w:t>
            </w:r>
          </w:p>
          <w:p>
            <w:pPr>
              <w:pStyle w:val="31"/>
              <w:spacing w:after="0" w:line="400" w:lineRule="exact"/>
              <w:ind w:firstLine="0" w:firstLineChars="0"/>
              <w:contextualSpacing/>
              <w:rPr>
                <w:rFonts w:ascii="宋体" w:hAnsi="宋体" w:eastAsia="宋体" w:cs="宋体"/>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2022年，</w:t>
            </w:r>
            <w:r>
              <w:rPr>
                <w:rFonts w:hint="eastAsia" w:asciiTheme="majorEastAsia" w:hAnsiTheme="majorEastAsia" w:eastAsiaTheme="majorEastAsia" w:cstheme="majorEastAsia"/>
                <w:sz w:val="18"/>
                <w:szCs w:val="18"/>
              </w:rPr>
              <w:t>跨境电子商务交易额</w:t>
            </w:r>
            <w:r>
              <w:rPr>
                <w:rFonts w:asciiTheme="majorEastAsia" w:hAnsiTheme="majorEastAsia" w:eastAsiaTheme="majorEastAsia" w:cstheme="majorEastAsia"/>
                <w:sz w:val="18"/>
                <w:szCs w:val="18"/>
              </w:rPr>
              <w:t>___________</w:t>
            </w:r>
            <w:r>
              <w:rPr>
                <w:rFonts w:hint="eastAsia" w:asciiTheme="majorEastAsia" w:hAnsiTheme="majorEastAsia" w:eastAsiaTheme="majorEastAsia" w:cstheme="majorEastAsia"/>
                <w:sz w:val="18"/>
                <w:szCs w:val="18"/>
              </w:rPr>
              <w:t>万元，增长率</w:t>
            </w:r>
            <w:r>
              <w:rPr>
                <w:rFonts w:asciiTheme="majorEastAsia" w:hAnsiTheme="majorEastAsia" w:eastAsiaTheme="majorEastAsia" w:cstheme="majorEastAsia"/>
                <w:sz w:val="18"/>
                <w:szCs w:val="18"/>
              </w:rPr>
              <w:t>______%</w:t>
            </w: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示范带动</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7</w:t>
            </w:r>
            <w:r>
              <w:rPr>
                <w:rFonts w:hint="eastAsia" w:asciiTheme="majorEastAsia" w:hAnsiTheme="majorEastAsia" w:eastAsiaTheme="majorEastAsia" w:cstheme="majorEastAsia"/>
                <w:sz w:val="18"/>
                <w:szCs w:val="18"/>
              </w:rPr>
              <w:t>.截至</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年底，电商企业研发成果</w:t>
            </w:r>
            <w:r>
              <w:rPr>
                <w:rFonts w:asciiTheme="majorEastAsia" w:hAnsiTheme="majorEastAsia" w:eastAsiaTheme="majorEastAsia" w:cstheme="majorEastAsia"/>
                <w:sz w:val="18"/>
                <w:szCs w:val="18"/>
              </w:rPr>
              <w:t>____________</w:t>
            </w:r>
            <w:r>
              <w:rPr>
                <w:rFonts w:hint="eastAsia" w:asciiTheme="majorEastAsia" w:hAnsiTheme="majorEastAsia" w:eastAsiaTheme="majorEastAsia" w:cstheme="majorEastAsia"/>
                <w:sz w:val="18"/>
                <w:szCs w:val="18"/>
              </w:rPr>
              <w:t>个。</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8</w:t>
            </w:r>
            <w:r>
              <w:rPr>
                <w:rFonts w:hint="eastAsia" w:asciiTheme="majorEastAsia" w:hAnsiTheme="majorEastAsia" w:eastAsiaTheme="majorEastAsia" w:cstheme="majorEastAsia"/>
                <w:sz w:val="18"/>
                <w:szCs w:val="18"/>
              </w:rPr>
              <w:t>.截至</w:t>
            </w:r>
            <w:r>
              <w:rPr>
                <w:rFonts w:asciiTheme="majorEastAsia" w:hAnsiTheme="majorEastAsia" w:eastAsiaTheme="majorEastAsia" w:cstheme="majorEastAsia"/>
                <w:sz w:val="18"/>
                <w:szCs w:val="18"/>
              </w:rPr>
              <w:t>2022年底，</w:t>
            </w:r>
            <w:r>
              <w:rPr>
                <w:rFonts w:hint="eastAsia" w:asciiTheme="majorEastAsia" w:hAnsiTheme="majorEastAsia" w:eastAsiaTheme="majorEastAsia" w:cstheme="majorEastAsia"/>
                <w:sz w:val="18"/>
                <w:szCs w:val="18"/>
              </w:rPr>
              <w:t>电商企业培育推广商标品牌</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个。</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49</w:t>
            </w:r>
            <w:r>
              <w:rPr>
                <w:rFonts w:hint="eastAsia" w:asciiTheme="majorEastAsia" w:hAnsiTheme="majorEastAsia" w:eastAsiaTheme="majorEastAsia" w:cstheme="majorEastAsia"/>
                <w:sz w:val="18"/>
                <w:szCs w:val="18"/>
              </w:rPr>
              <w:t>.参与</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年第四届“双品网购节”达成电商交易额</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万元。</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.参与“</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全国网上年货节”达成电商交易额</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万元。</w:t>
            </w:r>
          </w:p>
          <w:p>
            <w:pPr>
              <w:pStyle w:val="31"/>
              <w:spacing w:after="0" w:line="400" w:lineRule="exact"/>
              <w:ind w:firstLine="0" w:firstLineChars="0"/>
              <w:contextualSpacing/>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.参与</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年第五届中国国际进口博览会成交额</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万元。</w:t>
            </w:r>
          </w:p>
          <w:p>
            <w:pPr>
              <w:pStyle w:val="31"/>
              <w:spacing w:after="0" w:line="400" w:lineRule="exact"/>
              <w:ind w:firstLine="0" w:firstLineChars="0"/>
              <w:contextualSpacing/>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52.是否与周边传统产业开展交流合作，带动中小微企业数字化转型：</w:t>
            </w:r>
            <w:r>
              <w:rPr>
                <w:rFonts w:hint="eastAsia" w:asciiTheme="majorEastAsia" w:hAnsiTheme="majorEastAsia" w:eastAsiaTheme="majorEastAsia" w:cstheme="majorEastAsia"/>
                <w:sz w:val="18"/>
                <w:szCs w:val="18"/>
              </w:rPr>
              <w:t>□是 □否</w:t>
            </w:r>
            <w:r>
              <w:rPr>
                <w:rFonts w:hint="eastAsia" w:asciiTheme="majorEastAsia" w:hAnsiTheme="majorEastAsia" w:eastAsiaTheme="majorEastAsia" w:cstheme="maj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数商兴农</w:t>
            </w:r>
          </w:p>
          <w:p>
            <w:pPr>
              <w:spacing w:after="0" w:line="400" w:lineRule="exact"/>
              <w:contextualSpacing/>
              <w:jc w:val="center"/>
              <w:rPr>
                <w:rFonts w:ascii="宋体" w:hAnsi="宋体" w:eastAsia="宋体" w:cs="Times New Roman"/>
                <w:b/>
                <w:sz w:val="18"/>
                <w:szCs w:val="18"/>
              </w:rPr>
            </w:pP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.通过农村电商带动农村人口创业就业</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人；通过电商培育推广地方农特产品品牌</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个，助农销售</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万元。</w:t>
            </w:r>
          </w:p>
          <w:p>
            <w:pPr>
              <w:pStyle w:val="31"/>
              <w:spacing w:after="0" w:line="400" w:lineRule="exact"/>
              <w:ind w:firstLine="0" w:firstLineChars="0"/>
              <w:contextualSpacing/>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rPr>
              <w:t>.在</w:t>
            </w:r>
            <w:r>
              <w:rPr>
                <w:rFonts w:asciiTheme="majorEastAsia" w:hAnsiTheme="majorEastAsia" w:eastAsiaTheme="majorEastAsia" w:cstheme="majorEastAsia"/>
                <w:sz w:val="18"/>
                <w:szCs w:val="18"/>
              </w:rPr>
              <w:t>以下方面开展</w:t>
            </w:r>
            <w:r>
              <w:rPr>
                <w:rFonts w:hint="eastAsia" w:asciiTheme="majorEastAsia" w:hAnsiTheme="majorEastAsia" w:eastAsiaTheme="majorEastAsia" w:cstheme="majorEastAsia"/>
                <w:sz w:val="18"/>
                <w:szCs w:val="18"/>
              </w:rPr>
              <w:t>农村电商新基建：□应用物联网、</w:t>
            </w:r>
            <w:r>
              <w:rPr>
                <w:rFonts w:asciiTheme="majorEastAsia" w:hAnsiTheme="majorEastAsia" w:eastAsiaTheme="majorEastAsia" w:cstheme="majorEastAsia"/>
                <w:sz w:val="18"/>
                <w:szCs w:val="18"/>
              </w:rPr>
              <w:t>5G技术、人工智能等技术建设智慧仓储、运输装备以及对</w:t>
            </w:r>
            <w:r>
              <w:rPr>
                <w:rFonts w:hint="eastAsia" w:asciiTheme="majorEastAsia" w:hAnsiTheme="majorEastAsia" w:eastAsiaTheme="majorEastAsia" w:cstheme="majorEastAsia"/>
                <w:sz w:val="18"/>
                <w:szCs w:val="18"/>
              </w:rPr>
              <w:t>现有仓配冷链设施数字化升级</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□推动适合乡村市场的数字化产品及服务下沉</w:t>
            </w:r>
            <w:r>
              <w:rPr>
                <w:rFonts w:hint="eastAsia" w:asciiTheme="majorEastAsia" w:hAnsiTheme="majorEastAsia" w:eastAsiaTheme="majorEastAsia" w:cstheme="majorEastAsia"/>
                <w:sz w:val="18"/>
                <w:szCs w:val="18"/>
                <w:lang w:eastAsia="zh-CN"/>
              </w:rPr>
              <w:t>；</w:t>
            </w:r>
          </w:p>
          <w:p>
            <w:pPr>
              <w:pStyle w:val="31"/>
              <w:spacing w:after="0" w:line="400" w:lineRule="exact"/>
              <w:ind w:firstLine="0" w:firstLineChars="0"/>
              <w:contextualSpacing/>
              <w:rPr>
                <w:rFonts w:ascii="宋体" w:hAnsi="宋体" w:eastAsia="宋体" w:cs="宋体"/>
                <w:sz w:val="18"/>
                <w:szCs w:val="18"/>
              </w:rPr>
            </w:pP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开展农村电商数据中心建设</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□建设服务农村电商</w:t>
            </w:r>
            <w:r>
              <w:rPr>
                <w:rFonts w:asciiTheme="majorEastAsia" w:hAnsiTheme="majorEastAsia" w:eastAsiaTheme="majorEastAsia" w:cstheme="majorEastAsia"/>
                <w:sz w:val="18"/>
                <w:szCs w:val="18"/>
              </w:rPr>
              <w:t>的</w:t>
            </w:r>
            <w:r>
              <w:rPr>
                <w:rFonts w:hint="eastAsia" w:asciiTheme="majorEastAsia" w:hAnsiTheme="majorEastAsia" w:eastAsiaTheme="majorEastAsia" w:cstheme="majorEastAsia"/>
                <w:sz w:val="18"/>
                <w:szCs w:val="18"/>
              </w:rPr>
              <w:t>直播间</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□其他</w:t>
            </w:r>
            <w:r>
              <w:rPr>
                <w:rFonts w:asciiTheme="majorEastAsia" w:hAnsiTheme="majorEastAsia" w:eastAsiaTheme="majorEastAsia" w:cstheme="majorEastAsia"/>
                <w:sz w:val="18"/>
                <w:szCs w:val="18"/>
              </w:rPr>
              <w:t>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吸纳就业</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5</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年，全体电子商务企业从业</w:t>
            </w:r>
            <w:r>
              <w:rPr>
                <w:rFonts w:asciiTheme="majorEastAsia" w:hAnsiTheme="majorEastAsia" w:eastAsiaTheme="majorEastAsia" w:cstheme="majorEastAsia"/>
                <w:sz w:val="18"/>
                <w:szCs w:val="18"/>
              </w:rPr>
              <w:t>___________</w:t>
            </w:r>
            <w:r>
              <w:rPr>
                <w:rFonts w:hint="eastAsia" w:asciiTheme="majorEastAsia" w:hAnsiTheme="majorEastAsia" w:eastAsiaTheme="majorEastAsia" w:cstheme="majorEastAsia"/>
                <w:sz w:val="18"/>
                <w:szCs w:val="18"/>
              </w:rPr>
              <w:t>人，增长率</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w:t>
            </w:r>
          </w:p>
          <w:p>
            <w:pPr>
              <w:pStyle w:val="31"/>
              <w:spacing w:after="0" w:line="400" w:lineRule="exact"/>
              <w:ind w:firstLine="0" w:firstLineChars="0"/>
              <w:contextualSpacing/>
              <w:rPr>
                <w:rFonts w:ascii="宋体" w:hAnsi="宋体" w:eastAsia="宋体" w:cs="Times New Roman"/>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6</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年，吸纳农民工就业</w:t>
            </w:r>
            <w:r>
              <w:rPr>
                <w:rFonts w:asciiTheme="majorEastAsia" w:hAnsiTheme="majorEastAsia" w:eastAsiaTheme="majorEastAsia" w:cstheme="majorEastAsia"/>
                <w:sz w:val="18"/>
                <w:szCs w:val="18"/>
              </w:rPr>
              <w:t>____________</w:t>
            </w:r>
            <w:r>
              <w:rPr>
                <w:rFonts w:hint="eastAsia" w:asciiTheme="majorEastAsia" w:hAnsiTheme="majorEastAsia" w:eastAsiaTheme="majorEastAsia" w:cstheme="majorEastAsia"/>
                <w:sz w:val="18"/>
                <w:szCs w:val="18"/>
              </w:rPr>
              <w:t>人，吸纳应届大学毕业生就业</w:t>
            </w:r>
            <w:r>
              <w:rPr>
                <w:rFonts w:asciiTheme="majorEastAsia" w:hAnsiTheme="majorEastAsia" w:eastAsiaTheme="majorEastAsia" w:cstheme="majorEastAsia"/>
                <w:sz w:val="18"/>
                <w:szCs w:val="18"/>
              </w:rPr>
              <w:t>____________</w:t>
            </w:r>
            <w:r>
              <w:rPr>
                <w:rFonts w:hint="eastAsia" w:asciiTheme="majorEastAsia" w:hAnsiTheme="majorEastAsia" w:eastAsiaTheme="majorEastAsia" w:cstheme="majorEastAsia"/>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Cs w:val="21"/>
              </w:rPr>
            </w:pPr>
            <w:r>
              <w:rPr>
                <w:rFonts w:hint="eastAsia" w:ascii="华文楷体" w:hAnsi="华文楷体" w:eastAsia="华文楷体" w:cs="华文楷体"/>
                <w:b/>
                <w:szCs w:val="21"/>
              </w:rPr>
              <w:t>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发展潜力</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7</w:t>
            </w:r>
            <w:r>
              <w:rPr>
                <w:rFonts w:hint="eastAsia" w:asciiTheme="majorEastAsia" w:hAnsiTheme="majorEastAsia" w:eastAsiaTheme="majorEastAsia" w:cstheme="majorEastAsia"/>
                <w:sz w:val="18"/>
                <w:szCs w:val="18"/>
              </w:rPr>
              <w:t>.是否设立专项电子商务扶持资金：</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□否；扶持资金是否落实到位：□是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8</w:t>
            </w:r>
            <w:r>
              <w:rPr>
                <w:rFonts w:hint="eastAsia" w:asciiTheme="majorEastAsia" w:hAnsiTheme="majorEastAsia" w:eastAsiaTheme="majorEastAsia" w:cstheme="majorEastAsia"/>
                <w:sz w:val="18"/>
                <w:szCs w:val="18"/>
              </w:rPr>
              <w:t>.是否根据自身情况编制合理的发展规划，科学指导基地建设与未来发展：</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59</w:t>
            </w:r>
            <w:r>
              <w:rPr>
                <w:rFonts w:hint="eastAsia" w:asciiTheme="majorEastAsia" w:hAnsiTheme="majorEastAsia" w:eastAsiaTheme="majorEastAsia" w:cstheme="majorEastAsia"/>
                <w:sz w:val="18"/>
                <w:szCs w:val="18"/>
              </w:rPr>
              <w:t>.是否与大专院校、研究机构等建立合作机制，共同开展电子商务研究与创新应用：</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ascii="宋体" w:hAnsi="宋体" w:eastAsia="宋体" w:cs="Times New Roman"/>
                <w:b/>
                <w:sz w:val="18"/>
                <w:szCs w:val="18"/>
              </w:rPr>
              <w:t>创新应用</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60</w:t>
            </w:r>
            <w:r>
              <w:rPr>
                <w:rFonts w:hint="eastAsia" w:asciiTheme="majorEastAsia" w:hAnsiTheme="majorEastAsia" w:eastAsiaTheme="majorEastAsia" w:cstheme="majorEastAsia"/>
                <w:sz w:val="18"/>
                <w:szCs w:val="18"/>
              </w:rPr>
              <w:t>.是否制定鼓励基地内电商企业、数商企业在5G、大数据、物联网、云计算、人工智能、区块链、虚拟现实</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rPr>
              <w:t>增强现实等先进信息技术领域及商业模式方面开展创新应用的措施：□是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1</w:t>
            </w:r>
            <w:r>
              <w:rPr>
                <w:rFonts w:hint="eastAsia" w:asciiTheme="majorEastAsia" w:hAnsiTheme="majorEastAsia" w:eastAsiaTheme="majorEastAsia" w:cstheme="majorEastAsia"/>
                <w:sz w:val="18"/>
                <w:szCs w:val="18"/>
              </w:rPr>
              <w:t>.基地内以自有技术创新或商业模式创新作为核心竞争力，并取得明显成效的电子商务企业______个。</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2</w:t>
            </w:r>
            <w:r>
              <w:rPr>
                <w:rFonts w:hint="eastAsia" w:asciiTheme="majorEastAsia" w:hAnsiTheme="majorEastAsia" w:eastAsiaTheme="majorEastAsia" w:cstheme="majorEastAsia"/>
                <w:sz w:val="18"/>
                <w:szCs w:val="18"/>
              </w:rPr>
              <w:t>.是否引导企业应用大数据技术，发展C2M模式，培育和推广“国潮精品”，促进“小而美”新消费品牌成长、国产优秀品牌网络销售：□是 □否。</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 xml:space="preserve">.是否建设电商直播基地：□是 </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否；2022年，开展电商直播______场，交易额_____万元，其中，涉农直播场次_____场，农副产品交易额_____万元。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行业规范</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rPr>
              <w:t>.制定和实施电子商务行业标准与规范_________个。</w:t>
            </w:r>
          </w:p>
          <w:p>
            <w:pPr>
              <w:pStyle w:val="31"/>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5</w:t>
            </w:r>
            <w:r>
              <w:rPr>
                <w:rFonts w:hint="eastAsia" w:asciiTheme="majorEastAsia" w:hAnsiTheme="majorEastAsia" w:eastAsiaTheme="majorEastAsia" w:cstheme="majorEastAsia"/>
                <w:sz w:val="18"/>
                <w:szCs w:val="18"/>
              </w:rPr>
              <w:t>.是否开展或合作开展电子商务信用体系建设工作：□是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意见及建议</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（可详细填写）</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省级商务</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主管部门</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审核意见</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ind w:firstLine="1620" w:firstLineChars="900"/>
              <w:contextualSpacing/>
              <w:rPr>
                <w:rFonts w:ascii="宋体" w:hAnsi="宋体" w:eastAsia="宋体" w:cs="Times New Roman"/>
                <w:sz w:val="18"/>
                <w:szCs w:val="18"/>
              </w:rPr>
            </w:pPr>
            <w:r>
              <w:rPr>
                <w:rFonts w:hint="eastAsia" w:ascii="宋体" w:hAnsi="宋体" w:eastAsia="宋体" w:cs="Times New Roman"/>
                <w:sz w:val="18"/>
                <w:szCs w:val="18"/>
              </w:rPr>
              <w:t>省级商务主管部门（盖章）</w:t>
            </w:r>
            <w:r>
              <w:rPr>
                <w:rFonts w:ascii="宋体" w:hAnsi="宋体" w:eastAsia="宋体" w:cs="Times New Roman"/>
                <w:sz w:val="18"/>
                <w:szCs w:val="18"/>
              </w:rPr>
              <w:t xml:space="preserve">                  年 </w:t>
            </w:r>
            <w:r>
              <w:rPr>
                <w:rFonts w:hint="eastAsia" w:ascii="宋体" w:hAnsi="宋体" w:eastAsia="宋体" w:cs="Times New Roman"/>
                <w:sz w:val="18"/>
                <w:szCs w:val="18"/>
              </w:rPr>
              <w:t xml:space="preserve">  </w:t>
            </w:r>
            <w:r>
              <w:rPr>
                <w:rFonts w:ascii="宋体" w:hAnsi="宋体" w:eastAsia="宋体" w:cs="Times New Roman"/>
                <w:sz w:val="18"/>
                <w:szCs w:val="18"/>
              </w:rPr>
              <w:t xml:space="preserve"> 月</w:t>
            </w:r>
            <w:r>
              <w:rPr>
                <w:rFonts w:hint="eastAsia" w:ascii="宋体" w:hAnsi="宋体" w:eastAsia="宋体" w:cs="Times New Roman"/>
                <w:sz w:val="18"/>
                <w:szCs w:val="18"/>
              </w:rPr>
              <w:t xml:space="preserve">  </w:t>
            </w:r>
            <w:r>
              <w:rPr>
                <w:rFonts w:ascii="宋体" w:hAnsi="宋体" w:eastAsia="宋体" w:cs="Times New Roman"/>
                <w:sz w:val="18"/>
                <w:szCs w:val="18"/>
              </w:rPr>
              <w:t xml:space="preserve">  日</w:t>
            </w:r>
          </w:p>
        </w:tc>
      </w:tr>
    </w:tbl>
    <w:p>
      <w:pPr>
        <w:autoSpaceDE w:val="0"/>
        <w:autoSpaceDN w:val="0"/>
        <w:adjustRightInd w:val="0"/>
        <w:ind w:firstLine="640" w:firstLineChars="200"/>
        <w:rPr>
          <w:rFonts w:ascii="仿宋_GB2312" w:hAnsi="Times New Roman" w:eastAsia="仿宋_GB2312" w:cs="仿宋_GB2312"/>
          <w:sz w:val="32"/>
          <w:szCs w:val="32"/>
        </w:rPr>
        <w:sectPr>
          <w:footerReference r:id="rId6" w:type="default"/>
          <w:pgSz w:w="11906" w:h="16838"/>
          <w:pgMar w:top="1440" w:right="1560" w:bottom="1318" w:left="1560" w:header="851" w:footer="992" w:gutter="0"/>
          <w:cols w:space="425" w:num="1"/>
          <w:docGrid w:type="lines" w:linePitch="312" w:charSpace="0"/>
        </w:sectPr>
      </w:pPr>
      <w:r>
        <w:rPr>
          <w:rFonts w:ascii="仿宋_GB2312" w:hAnsi="Times New Roman" w:eastAsia="仿宋_GB2312" w:cs="仿宋_GB2312"/>
          <w:sz w:val="32"/>
          <w:szCs w:val="32"/>
        </w:rPr>
        <w:br w:type="page"/>
      </w:r>
    </w:p>
    <w:p>
      <w:pPr>
        <w:autoSpaceDE w:val="0"/>
        <w:autoSpaceDN w:val="0"/>
        <w:adjustRightInd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after="0" w:line="440" w:lineRule="exact"/>
        <w:jc w:val="center"/>
        <w:rPr>
          <w:rFonts w:hint="eastAsia" w:asciiTheme="majorEastAsia" w:hAnsiTheme="majorEastAsia" w:eastAsiaTheme="majorEastAsia"/>
          <w:b/>
          <w:sz w:val="36"/>
          <w:szCs w:val="36"/>
        </w:rPr>
      </w:pPr>
    </w:p>
    <w:p>
      <w:pPr>
        <w:spacing w:after="0" w:line="440" w:lineRule="exact"/>
        <w:jc w:val="center"/>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rPr>
        <w:t>国家电子商务示范基地综合评价指标</w:t>
      </w:r>
      <w:r>
        <w:rPr>
          <w:rFonts w:hint="eastAsia" w:asciiTheme="majorEastAsia" w:hAnsiTheme="majorEastAsia" w:eastAsiaTheme="majorEastAsia"/>
          <w:b/>
          <w:sz w:val="36"/>
          <w:szCs w:val="36"/>
          <w:lang w:eastAsia="zh-CN"/>
        </w:rPr>
        <w:t>解释及证明材料清单</w:t>
      </w:r>
    </w:p>
    <w:p>
      <w:pPr>
        <w:spacing w:after="0" w:line="260" w:lineRule="exact"/>
        <w:rPr>
          <w:rFonts w:asciiTheme="majorEastAsia" w:hAnsiTheme="majorEastAsia" w:eastAsiaTheme="majorEastAsia" w:cstheme="majorEastAsia"/>
        </w:rPr>
      </w:pPr>
    </w:p>
    <w:tbl>
      <w:tblPr>
        <w:tblStyle w:val="21"/>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979"/>
        <w:gridCol w:w="851"/>
        <w:gridCol w:w="552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709"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一级</w:t>
            </w:r>
          </w:p>
          <w:p>
            <w:pPr>
              <w:spacing w:after="0" w:line="260" w:lineRule="exact"/>
              <w:contextualSpacing/>
              <w:jc w:val="center"/>
              <w:rPr>
                <w:rFonts w:asciiTheme="minorEastAsia" w:hAnsiTheme="minorEastAsia"/>
                <w:b/>
              </w:rPr>
            </w:pPr>
            <w:r>
              <w:rPr>
                <w:rFonts w:hint="eastAsia" w:asciiTheme="minorEastAsia" w:hAnsiTheme="minorEastAsia"/>
                <w:b/>
              </w:rPr>
              <w:t>指标</w:t>
            </w:r>
          </w:p>
        </w:tc>
        <w:tc>
          <w:tcPr>
            <w:tcW w:w="709"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二级</w:t>
            </w:r>
          </w:p>
          <w:p>
            <w:pPr>
              <w:spacing w:after="0" w:line="260" w:lineRule="exact"/>
              <w:contextualSpacing/>
              <w:jc w:val="center"/>
              <w:rPr>
                <w:rFonts w:asciiTheme="minorEastAsia" w:hAnsiTheme="minorEastAsia"/>
                <w:b/>
              </w:rPr>
            </w:pPr>
            <w:r>
              <w:rPr>
                <w:rFonts w:hint="eastAsia" w:asciiTheme="minorEastAsia" w:hAnsiTheme="minorEastAsia"/>
                <w:b/>
              </w:rPr>
              <w:t>指标</w:t>
            </w:r>
          </w:p>
        </w:tc>
        <w:tc>
          <w:tcPr>
            <w:tcW w:w="1979"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三级指标</w:t>
            </w:r>
          </w:p>
        </w:tc>
        <w:tc>
          <w:tcPr>
            <w:tcW w:w="851"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单位</w:t>
            </w:r>
          </w:p>
        </w:tc>
        <w:tc>
          <w:tcPr>
            <w:tcW w:w="5528"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指标解释与填报注意事项</w:t>
            </w:r>
          </w:p>
        </w:tc>
        <w:tc>
          <w:tcPr>
            <w:tcW w:w="3544"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证明材料提示</w:t>
            </w:r>
          </w:p>
          <w:p>
            <w:pPr>
              <w:spacing w:after="0" w:line="260" w:lineRule="exact"/>
              <w:contextualSpacing/>
              <w:jc w:val="center"/>
              <w:rPr>
                <w:rFonts w:asciiTheme="minorEastAsia" w:hAnsiTheme="minorEastAsia"/>
                <w:b/>
              </w:rPr>
            </w:pPr>
            <w:r>
              <w:rPr>
                <w:rFonts w:hint="eastAsia" w:asciiTheme="minorEastAsia" w:hAnsiTheme="minorEastAsia"/>
                <w:b/>
              </w:rPr>
              <w:t>（可以包括但不限于以下内容）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rFonts w:ascii="黑体" w:hAnsi="黑体" w:eastAsia="黑体" w:cs="黑体"/>
                <w:bCs/>
                <w:sz w:val="24"/>
                <w:szCs w:val="24"/>
              </w:rPr>
            </w:pPr>
            <w:r>
              <w:rPr>
                <w:rFonts w:hint="eastAsia" w:ascii="黑体" w:hAnsi="黑体" w:eastAsia="黑体" w:cs="黑体"/>
                <w:bCs/>
                <w:sz w:val="24"/>
                <w:szCs w:val="24"/>
              </w:rPr>
              <w:t>承载</w:t>
            </w:r>
          </w:p>
          <w:p>
            <w:pPr>
              <w:spacing w:after="0" w:line="260" w:lineRule="exact"/>
              <w:contextualSpacing/>
              <w:jc w:val="center"/>
            </w:pPr>
            <w:r>
              <w:rPr>
                <w:rFonts w:hint="eastAsia" w:ascii="黑体" w:hAnsi="黑体" w:eastAsia="黑体" w:cs="黑体"/>
                <w:bCs/>
                <w:sz w:val="24"/>
                <w:szCs w:val="24"/>
              </w:rPr>
              <w:t>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基础</w:t>
            </w:r>
          </w:p>
          <w:p>
            <w:pPr>
              <w:spacing w:after="0" w:line="260" w:lineRule="exact"/>
              <w:contextualSpacing/>
              <w:jc w:val="center"/>
              <w:rPr>
                <w:rFonts w:ascii="楷体" w:hAnsi="楷体" w:eastAsia="楷体"/>
                <w:sz w:val="24"/>
                <w:szCs w:val="24"/>
              </w:rPr>
            </w:pPr>
            <w:r>
              <w:rPr>
                <w:rFonts w:hint="eastAsia" w:ascii="楷体" w:hAnsi="楷体" w:eastAsia="楷体"/>
                <w:sz w:val="24"/>
                <w:szCs w:val="24"/>
              </w:rPr>
              <w:t>硬件</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电子商务企业</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建筑面积</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万平方米</w:t>
            </w:r>
          </w:p>
        </w:tc>
        <w:tc>
          <w:tcPr>
            <w:tcW w:w="5528" w:type="dxa"/>
            <w:vAlign w:val="center"/>
          </w:tcPr>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1.基地已投入使用的、用于电子商务企业办公的总体建筑面积，不包括用于仓储、配套等用途的建筑面积。</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2.在建和已建成未使用的面积不计入在内。</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3.电子商务企业的类型详见指标“电子商务企业数量”。</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提供电商企业办公建筑面积明细表，以楼宇或企业为单位进行统计。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配套服务区面积</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万平方米</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基地已投入使用的、用于为电子商务企业提供商业及生活配套的建筑面积，包括仓储面积，也包括为基地电子商务企业提供食宿、休闲娱乐等服务用途的建筑面积。</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提供配套服务面积明细表，以楼宇或配套功能区为单位进行统计。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平均网络带宽</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asciiTheme="minorEastAsia" w:hAnsiTheme="minorEastAsia" w:cstheme="majorEastAsia"/>
                <w:sz w:val="20"/>
                <w:szCs w:val="20"/>
              </w:rPr>
              <w:t>Mbps</w:t>
            </w:r>
          </w:p>
        </w:tc>
        <w:tc>
          <w:tcPr>
            <w:tcW w:w="5528" w:type="dxa"/>
            <w:vAlign w:val="center"/>
          </w:tcPr>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1.基地所有电子商务企业网络带宽之和与电子商务企业数量之间的比值。</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2.是平均带宽，而不是总带宽。</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3.建有数据中心的基地，其企业接入的网络带宽不包含数据中心的带宽。</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提供网络运营商协议等。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w:t>
            </w:r>
            <w:r>
              <w:rPr>
                <w:rFonts w:asciiTheme="minorEastAsia" w:hAnsiTheme="minorEastAsia"/>
                <w:sz w:val="20"/>
                <w:szCs w:val="20"/>
              </w:rPr>
              <w:t>物流协同发展</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基地是否有配套或协同发展的快递物流园区。</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主要做法、取得进展及成效，可以提供具体案例。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建设</w:t>
            </w:r>
            <w:r>
              <w:rPr>
                <w:rFonts w:asciiTheme="minorEastAsia" w:hAnsiTheme="minorEastAsia"/>
                <w:sz w:val="20"/>
                <w:szCs w:val="20"/>
              </w:rPr>
              <w:t>运营</w:t>
            </w:r>
            <w:r>
              <w:rPr>
                <w:rFonts w:hint="eastAsia" w:asciiTheme="minorEastAsia" w:hAnsiTheme="minorEastAsia"/>
                <w:sz w:val="20"/>
                <w:szCs w:val="20"/>
              </w:rPr>
              <w:t>海外仓</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基地是否在境外建设运营跨境电商海外仓。</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主要做法、取得进展及成效，可以提供具体案例。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入驻</w:t>
            </w:r>
          </w:p>
          <w:p>
            <w:pPr>
              <w:spacing w:after="0" w:line="260" w:lineRule="exact"/>
              <w:contextualSpacing/>
              <w:jc w:val="center"/>
              <w:rPr>
                <w:rFonts w:ascii="楷体" w:hAnsi="楷体" w:eastAsia="楷体"/>
                <w:sz w:val="24"/>
                <w:szCs w:val="24"/>
              </w:rPr>
            </w:pPr>
            <w:r>
              <w:rPr>
                <w:rFonts w:hint="eastAsia" w:ascii="楷体" w:hAnsi="楷体" w:eastAsia="楷体"/>
                <w:sz w:val="24"/>
                <w:szCs w:val="24"/>
              </w:rPr>
              <w:t>企业</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numPr>
                <w:ilvl w:val="0"/>
                <w:numId w:val="1"/>
              </w:numPr>
              <w:spacing w:after="0" w:line="260" w:lineRule="exact"/>
              <w:rPr>
                <w:rFonts w:asciiTheme="minorEastAsia" w:hAnsiTheme="minorEastAsia" w:cstheme="majorEastAsia"/>
                <w:sz w:val="20"/>
                <w:szCs w:val="20"/>
              </w:rPr>
            </w:pPr>
            <w:r>
              <w:rPr>
                <w:rFonts w:hint="eastAsia" w:asciiTheme="minorEastAsia" w:hAnsiTheme="minorEastAsia" w:cstheme="majorEastAsia"/>
                <w:sz w:val="20"/>
                <w:szCs w:val="20"/>
              </w:rPr>
              <w:t>报告期末入驻基地全部电子商务企业（含在孵电子商务企业）数量，主要包括电子商务平台企业、电子商务品牌经销企业、电子商务服务企业</w:t>
            </w:r>
            <w:r>
              <w:rPr>
                <w:rFonts w:hint="eastAsia" w:asciiTheme="minorEastAsia" w:hAnsiTheme="minorEastAsia" w:cstheme="majorEastAsia"/>
                <w:sz w:val="20"/>
                <w:szCs w:val="20"/>
                <w:lang w:eastAsia="zh-CN"/>
              </w:rPr>
              <w:t>三</w:t>
            </w:r>
            <w:r>
              <w:rPr>
                <w:rFonts w:hint="eastAsia" w:asciiTheme="minorEastAsia" w:hAnsiTheme="minorEastAsia" w:cstheme="majorEastAsia"/>
                <w:sz w:val="20"/>
                <w:szCs w:val="20"/>
              </w:rPr>
              <w:t>种类型。</w:t>
            </w:r>
          </w:p>
          <w:p>
            <w:pPr>
              <w:numPr>
                <w:ilvl w:val="0"/>
                <w:numId w:val="2"/>
              </w:numPr>
              <w:spacing w:after="0" w:line="260" w:lineRule="exact"/>
              <w:rPr>
                <w:rFonts w:asciiTheme="minorEastAsia" w:hAnsiTheme="minorEastAsia" w:cstheme="majorEastAsia"/>
                <w:sz w:val="20"/>
                <w:szCs w:val="20"/>
              </w:rPr>
            </w:pPr>
            <w:r>
              <w:rPr>
                <w:rFonts w:hint="eastAsia" w:asciiTheme="minorEastAsia" w:hAnsiTheme="minorEastAsia" w:cstheme="majorEastAsia"/>
                <w:sz w:val="20"/>
                <w:szCs w:val="20"/>
              </w:rPr>
              <w:t>电子商务平台企业。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产品的企业。</w:t>
            </w:r>
          </w:p>
          <w:p>
            <w:pPr>
              <w:numPr>
                <w:ilvl w:val="0"/>
                <w:numId w:val="2"/>
              </w:numPr>
              <w:spacing w:after="0" w:line="260" w:lineRule="exact"/>
              <w:rPr>
                <w:rFonts w:asciiTheme="minorEastAsia" w:hAnsiTheme="minorEastAsia" w:cstheme="majorEastAsia"/>
                <w:sz w:val="20"/>
                <w:szCs w:val="20"/>
              </w:rPr>
            </w:pPr>
            <w:r>
              <w:rPr>
                <w:rFonts w:hint="eastAsia" w:asciiTheme="minorEastAsia" w:hAnsiTheme="minorEastAsia" w:cstheme="majorEastAsia"/>
                <w:sz w:val="20"/>
                <w:szCs w:val="20"/>
              </w:rPr>
              <w:t>电子商务品牌经销企业。通过第三方电子商务平台销售商品或提供服务的电子商务经营企业。</w:t>
            </w:r>
          </w:p>
          <w:p>
            <w:pPr>
              <w:numPr>
                <w:ilvl w:val="0"/>
                <w:numId w:val="2"/>
              </w:numPr>
              <w:spacing w:after="0" w:line="260" w:lineRule="exact"/>
              <w:rPr>
                <w:rFonts w:asciiTheme="minorEastAsia" w:hAnsiTheme="minorEastAsia" w:cstheme="majorEastAsia"/>
                <w:sz w:val="20"/>
                <w:szCs w:val="20"/>
              </w:rPr>
            </w:pPr>
            <w:r>
              <w:rPr>
                <w:rFonts w:hint="eastAsia" w:asciiTheme="minorEastAsia" w:hAnsiTheme="minorEastAsia" w:cstheme="majorEastAsia"/>
                <w:sz w:val="20"/>
                <w:szCs w:val="20"/>
              </w:rPr>
              <w:t>电子商务服务企业。为电子商务经营者提供营销（含直播）、技术、运营、数据、信用、咨询、培训、物流、金融支付、网红孵化与运营、外贸综合服务等电子商务相关服务的企业。</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2.</w:t>
            </w:r>
            <w:r>
              <w:rPr>
                <w:rFonts w:hint="eastAsia" w:asciiTheme="minorEastAsia" w:hAnsiTheme="minorEastAsia" w:cstheme="majorEastAsia"/>
                <w:sz w:val="20"/>
                <w:szCs w:val="20"/>
              </w:rPr>
              <w:t>涉农</w:t>
            </w:r>
            <w:r>
              <w:rPr>
                <w:rFonts w:asciiTheme="minorEastAsia" w:hAnsiTheme="minorEastAsia" w:cstheme="majorEastAsia"/>
                <w:sz w:val="20"/>
                <w:szCs w:val="20"/>
              </w:rPr>
              <w:t>电商企业</w:t>
            </w:r>
            <w:r>
              <w:rPr>
                <w:rFonts w:hint="eastAsia" w:asciiTheme="minorEastAsia" w:hAnsiTheme="minorEastAsia" w:cstheme="majorEastAsia"/>
                <w:sz w:val="20"/>
                <w:szCs w:val="20"/>
              </w:rPr>
              <w:t>。通过</w:t>
            </w:r>
            <w:r>
              <w:rPr>
                <w:rFonts w:asciiTheme="minorEastAsia" w:hAnsiTheme="minorEastAsia" w:cstheme="majorEastAsia"/>
                <w:sz w:val="20"/>
                <w:szCs w:val="20"/>
              </w:rPr>
              <w:t>电子商务</w:t>
            </w:r>
            <w:r>
              <w:rPr>
                <w:rFonts w:hint="eastAsia" w:asciiTheme="minorEastAsia" w:hAnsiTheme="minorEastAsia" w:cstheme="majorEastAsia"/>
                <w:sz w:val="20"/>
                <w:szCs w:val="20"/>
              </w:rPr>
              <w:t>助力工业品下乡、农产品进城，开展</w:t>
            </w:r>
            <w:r>
              <w:rPr>
                <w:rFonts w:asciiTheme="minorEastAsia" w:hAnsiTheme="minorEastAsia" w:cstheme="majorEastAsia"/>
                <w:sz w:val="20"/>
                <w:szCs w:val="20"/>
              </w:rPr>
              <w:t>农村电商新基建，</w:t>
            </w:r>
            <w:r>
              <w:rPr>
                <w:rFonts w:hint="eastAsia" w:asciiTheme="minorEastAsia" w:hAnsiTheme="minorEastAsia" w:cstheme="majorEastAsia"/>
                <w:sz w:val="20"/>
                <w:szCs w:val="20"/>
              </w:rPr>
              <w:t>培养</w:t>
            </w:r>
            <w:r>
              <w:rPr>
                <w:rFonts w:asciiTheme="minorEastAsia" w:hAnsiTheme="minorEastAsia" w:cstheme="majorEastAsia"/>
                <w:sz w:val="20"/>
                <w:szCs w:val="20"/>
              </w:rPr>
              <w:t>农村电商人才，</w:t>
            </w:r>
            <w:r>
              <w:rPr>
                <w:rFonts w:hint="eastAsia" w:asciiTheme="minorEastAsia" w:hAnsiTheme="minorEastAsia" w:cstheme="majorEastAsia"/>
                <w:sz w:val="20"/>
                <w:szCs w:val="20"/>
              </w:rPr>
              <w:t>服务农业</w:t>
            </w:r>
            <w:r>
              <w:rPr>
                <w:rFonts w:asciiTheme="minorEastAsia" w:hAnsiTheme="minorEastAsia" w:cstheme="majorEastAsia"/>
                <w:sz w:val="20"/>
                <w:szCs w:val="20"/>
              </w:rPr>
              <w:t>、农村、农民</w:t>
            </w:r>
            <w:r>
              <w:rPr>
                <w:rFonts w:hint="eastAsia" w:asciiTheme="minorEastAsia" w:hAnsiTheme="minorEastAsia" w:cstheme="majorEastAsia"/>
                <w:sz w:val="20"/>
                <w:szCs w:val="20"/>
              </w:rPr>
              <w:t>的电商</w:t>
            </w:r>
            <w:r>
              <w:rPr>
                <w:rFonts w:asciiTheme="minorEastAsia" w:hAnsiTheme="minorEastAsia" w:cstheme="majorEastAsia"/>
                <w:sz w:val="20"/>
                <w:szCs w:val="20"/>
              </w:rPr>
              <w:t>企业</w:t>
            </w:r>
            <w:r>
              <w:rPr>
                <w:rFonts w:hint="eastAsia" w:asciiTheme="minorEastAsia" w:hAnsiTheme="minorEastAsia" w:cstheme="majorEastAsia"/>
                <w:sz w:val="20"/>
                <w:szCs w:val="20"/>
              </w:rPr>
              <w:t>。</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3.基地外电商企业不计入在内。</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提供电商企业名单，并列明以下内容：企业名称、企业法人、主营业务、营业地址。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电子商务企业</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入驻率</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asciiTheme="minorEastAsia" w:hAnsiTheme="minorEastAsia" w:cstheme="majorEastAsia"/>
                <w:sz w:val="20"/>
                <w:szCs w:val="20"/>
              </w:rPr>
              <w:t>%</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基地电子商务企业数量与全部入驻企业数量之间的比值。</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提供全部入驻企业数量及证明材料。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电子商务企业</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增长率</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asciiTheme="minorEastAsia" w:hAnsiTheme="minorEastAsia" w:cstheme="majorEastAsia"/>
                <w:sz w:val="20"/>
                <w:szCs w:val="20"/>
              </w:rPr>
              <w:t>%</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计算公式为（报告期末基地电子商务企业数量</w:t>
            </w:r>
            <w:r>
              <w:rPr>
                <w:rFonts w:asciiTheme="minorEastAsia" w:hAnsiTheme="minorEastAsia" w:cstheme="majorEastAsia"/>
                <w:sz w:val="20"/>
                <w:szCs w:val="20"/>
              </w:rPr>
              <w:t>/上一年基地电子商务企业数量-1）×100%。</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提供上一年基地电子商务企业数量及证明材料。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入选全国商业科技创新应用优秀案例企业数量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报告期内基地拥有入选商务部确定的全国商业科技创新应用优秀案例企业</w:t>
            </w:r>
            <w:r>
              <w:rPr>
                <w:rFonts w:asciiTheme="minorEastAsia" w:hAnsiTheme="minorEastAsia" w:cstheme="majorEastAsia"/>
                <w:sz w:val="20"/>
                <w:szCs w:val="20"/>
              </w:rPr>
              <w:t>数量。</w:t>
            </w:r>
          </w:p>
        </w:tc>
        <w:tc>
          <w:tcPr>
            <w:tcW w:w="3544" w:type="dxa"/>
            <w:vAlign w:val="center"/>
          </w:tcPr>
          <w:p>
            <w:pPr>
              <w:spacing w:after="0" w:line="260" w:lineRule="exact"/>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省级电子商务示范</w:t>
            </w:r>
          </w:p>
          <w:p>
            <w:pPr>
              <w:spacing w:after="0" w:line="260" w:lineRule="exact"/>
              <w:contextualSpacing/>
              <w:jc w:val="center"/>
              <w:rPr>
                <w:rFonts w:asciiTheme="minorEastAsia" w:hAnsiTheme="minorEastAsia" w:cstheme="majorEastAsia"/>
                <w:sz w:val="20"/>
                <w:szCs w:val="20"/>
                <w:highlight w:val="yellow"/>
              </w:rPr>
            </w:pPr>
            <w:r>
              <w:rPr>
                <w:rFonts w:hint="eastAsia" w:asciiTheme="minorEastAsia" w:hAnsiTheme="minorEastAsia" w:cstheme="majorEastAsia"/>
                <w:sz w:val="20"/>
                <w:szCs w:val="20"/>
              </w:rPr>
              <w:t>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报告期内基地拥有省级商务主管部门认定的电子商务示范企业数量。</w:t>
            </w:r>
          </w:p>
        </w:tc>
        <w:tc>
          <w:tcPr>
            <w:tcW w:w="3544" w:type="dxa"/>
            <w:vAlign w:val="center"/>
          </w:tcPr>
          <w:p>
            <w:pPr>
              <w:spacing w:after="0" w:line="260" w:lineRule="exact"/>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列入商务部“商贸流通业典型统计调查企业”的电子商务企业数量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报告期内基地列入商务部“商贸流通业典型统计调查企业”的电子商务企业数量。</w:t>
            </w:r>
          </w:p>
        </w:tc>
        <w:tc>
          <w:tcPr>
            <w:tcW w:w="3544" w:type="dxa"/>
            <w:vAlign w:val="center"/>
          </w:tcPr>
          <w:p>
            <w:pPr>
              <w:spacing w:after="0" w:line="260" w:lineRule="exact"/>
              <w:ind w:firstLine="1200" w:firstLineChars="60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rFonts w:ascii="黑体" w:hAnsi="黑体" w:eastAsia="黑体" w:cs="黑体"/>
                <w:bCs/>
              </w:rPr>
            </w:pPr>
            <w:r>
              <w:rPr>
                <w:rFonts w:hint="eastAsia" w:ascii="黑体" w:hAnsi="黑体" w:eastAsia="黑体" w:cs="黑体"/>
                <w:bCs/>
                <w:sz w:val="24"/>
                <w:szCs w:val="24"/>
              </w:rPr>
              <w:t>服务能力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金融服务</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获得基地金融服务的电子商务企业数量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报告期内获得基地金融服务的电子商务企业数量，包括但不限于股权投资、借贷服务等。</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提供企业名单，并列明以下内容：企业名称、企业法人、主营业务。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color w:val="FF0000"/>
              </w:rPr>
            </w:pPr>
          </w:p>
        </w:tc>
        <w:tc>
          <w:tcPr>
            <w:tcW w:w="709" w:type="dxa"/>
            <w:vMerge w:val="continue"/>
            <w:vAlign w:val="center"/>
          </w:tcPr>
          <w:p>
            <w:pPr>
              <w:spacing w:after="0" w:line="260" w:lineRule="exact"/>
              <w:contextualSpacing/>
              <w:jc w:val="center"/>
              <w:rPr>
                <w:rFonts w:ascii="楷体" w:hAnsi="楷体" w:eastAsia="楷体"/>
                <w:color w:val="FF0000"/>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电子商务企业获得</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投融资总额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报告期内基地电子商务企业通过基地设立的投资基金或基地引荐的方式获得的投融资总额。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融资明细，列明以下内容：获得融资企业名单（企业名称、企业法人、主营业务）、各企业融资金额、资金来源、融资类型；可以与指标“获得基地金融服务的电子商务企业数量”的证明材料共用表格。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color w:val="FF0000"/>
              </w:rPr>
            </w:pPr>
          </w:p>
        </w:tc>
        <w:tc>
          <w:tcPr>
            <w:tcW w:w="709" w:type="dxa"/>
            <w:vMerge w:val="restart"/>
            <w:vAlign w:val="center"/>
          </w:tcPr>
          <w:p>
            <w:pPr>
              <w:spacing w:after="0" w:line="260" w:lineRule="exact"/>
              <w:contextualSpacing/>
              <w:rPr>
                <w:rFonts w:ascii="楷体" w:hAnsi="楷体" w:eastAsia="楷体"/>
                <w:sz w:val="24"/>
                <w:szCs w:val="24"/>
              </w:rPr>
            </w:pPr>
            <w:r>
              <w:rPr>
                <w:rFonts w:hint="eastAsia" w:ascii="楷体" w:hAnsi="楷体" w:eastAsia="楷体"/>
                <w:sz w:val="24"/>
                <w:szCs w:val="24"/>
              </w:rPr>
              <w:t>人才服务</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电子商务人才引进与培养政策</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截至报告期末，基地是否设立或实施电子商务人才引进政策；是否设立或实施电子商务人才培养政策。</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政策文件名称、复印件。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年度电子商务</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培训人次</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人次</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1.报告期内，基地组织的电子商务培训总人次数。</w:t>
            </w:r>
          </w:p>
          <w:p>
            <w:pPr>
              <w:spacing w:after="0" w:line="260" w:lineRule="exact"/>
              <w:contextualSpacing/>
              <w:rPr>
                <w:rFonts w:asciiTheme="minorEastAsia" w:hAnsiTheme="minorEastAsia"/>
                <w:sz w:val="20"/>
                <w:szCs w:val="20"/>
              </w:rPr>
            </w:pPr>
            <w:r>
              <w:rPr>
                <w:rFonts w:asciiTheme="minorEastAsia" w:hAnsiTheme="minorEastAsia"/>
                <w:sz w:val="20"/>
                <w:szCs w:val="20"/>
              </w:rPr>
              <w:t>2.其他领域培训不计入在内。</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为农村</w:t>
            </w:r>
            <w:r>
              <w:rPr>
                <w:rFonts w:asciiTheme="minorEastAsia" w:hAnsiTheme="minorEastAsia"/>
                <w:sz w:val="20"/>
                <w:szCs w:val="20"/>
              </w:rPr>
              <w:t>地区</w:t>
            </w:r>
            <w:r>
              <w:rPr>
                <w:rFonts w:hint="eastAsia" w:asciiTheme="minorEastAsia" w:hAnsiTheme="minorEastAsia"/>
                <w:sz w:val="20"/>
                <w:szCs w:val="20"/>
              </w:rPr>
              <w:t>开展</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电子商务培训人次</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人次</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1.报告期内，基地为农村地区</w:t>
            </w:r>
            <w:r>
              <w:rPr>
                <w:rFonts w:hint="eastAsia" w:asciiTheme="minorEastAsia" w:hAnsiTheme="minorEastAsia"/>
                <w:sz w:val="20"/>
                <w:szCs w:val="20"/>
              </w:rPr>
              <w:t>组织开展的电子商务培训总人次数。</w:t>
            </w:r>
          </w:p>
          <w:p>
            <w:pPr>
              <w:spacing w:after="0" w:line="260" w:lineRule="exact"/>
              <w:contextualSpacing/>
              <w:rPr>
                <w:rFonts w:asciiTheme="minorEastAsia" w:hAnsiTheme="minorEastAsia"/>
                <w:sz w:val="20"/>
                <w:szCs w:val="20"/>
              </w:rPr>
            </w:pPr>
            <w:r>
              <w:rPr>
                <w:rFonts w:asciiTheme="minorEastAsia" w:hAnsiTheme="minorEastAsia"/>
                <w:sz w:val="20"/>
                <w:szCs w:val="20"/>
              </w:rPr>
              <w:t>2.其他领域培训不计入在内。</w:t>
            </w:r>
          </w:p>
          <w:p>
            <w:pPr>
              <w:spacing w:after="0" w:line="260" w:lineRule="exact"/>
              <w:contextualSpacing/>
              <w:rPr>
                <w:rFonts w:asciiTheme="minorEastAsia" w:hAnsiTheme="minorEastAsia"/>
                <w:sz w:val="20"/>
                <w:szCs w:val="20"/>
              </w:rPr>
            </w:pPr>
            <w:r>
              <w:rPr>
                <w:rFonts w:asciiTheme="minorEastAsia" w:hAnsiTheme="minorEastAsia"/>
                <w:sz w:val="20"/>
                <w:szCs w:val="20"/>
              </w:rPr>
              <w:t>3.前一指标</w:t>
            </w:r>
            <w:r>
              <w:rPr>
                <w:rFonts w:hint="eastAsia" w:asciiTheme="minorEastAsia" w:hAnsiTheme="minorEastAsia"/>
                <w:sz w:val="20"/>
                <w:szCs w:val="20"/>
              </w:rPr>
              <w:t>“年度电子商务培训人次”的</w:t>
            </w:r>
            <w:r>
              <w:rPr>
                <w:rFonts w:asciiTheme="minorEastAsia" w:hAnsiTheme="minorEastAsia"/>
                <w:sz w:val="20"/>
                <w:szCs w:val="20"/>
              </w:rPr>
              <w:t>统计数据应包含</w:t>
            </w:r>
            <w:r>
              <w:rPr>
                <w:rFonts w:hint="eastAsia" w:asciiTheme="minorEastAsia" w:hAnsiTheme="minorEastAsia"/>
                <w:sz w:val="20"/>
                <w:szCs w:val="20"/>
              </w:rPr>
              <w:t>该</w:t>
            </w:r>
            <w:r>
              <w:rPr>
                <w:rFonts w:asciiTheme="minorEastAsia" w:hAnsiTheme="minorEastAsia"/>
                <w:sz w:val="20"/>
                <w:szCs w:val="20"/>
              </w:rPr>
              <w:t>指标统计数据</w:t>
            </w:r>
            <w:r>
              <w:rPr>
                <w:rFonts w:hint="eastAsia" w:asciiTheme="minorEastAsia" w:hAnsiTheme="minorEastAsia"/>
                <w:sz w:val="20"/>
                <w:szCs w:val="20"/>
              </w:rPr>
              <w:t>。</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输送电子商务人才</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数量</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1.报告期内，基地为基地内及周边电子商务企业输送的电子商务人才数量。</w:t>
            </w:r>
          </w:p>
          <w:p>
            <w:pPr>
              <w:spacing w:after="0" w:line="260" w:lineRule="exact"/>
              <w:contextualSpacing/>
              <w:rPr>
                <w:rFonts w:asciiTheme="minorEastAsia" w:hAnsiTheme="minorEastAsia"/>
                <w:sz w:val="20"/>
                <w:szCs w:val="20"/>
              </w:rPr>
            </w:pPr>
            <w:r>
              <w:rPr>
                <w:rFonts w:asciiTheme="minorEastAsia" w:hAnsiTheme="minorEastAsia"/>
                <w:sz w:val="20"/>
                <w:szCs w:val="20"/>
              </w:rPr>
              <w:t>2.输送人才与培训人数不是一个概念，两者不能划等号。</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接收电商人才企业名单、人数、专业特长等。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孵化服务</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在孵电子商务企业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数量</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报告期末基地孵化器内在孵电子商务企业数量。</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在孵企业名单，包括企业名称、办公地址、入驻时间等。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电商企业孵化</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成功率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1.计算公式：报告期内孵化毕业企业数/（报告期末在孵企业数+报告期内孵化毕业企业数）×100%。</w:t>
            </w:r>
          </w:p>
          <w:p>
            <w:pPr>
              <w:spacing w:after="0" w:line="260" w:lineRule="exact"/>
              <w:contextualSpacing/>
              <w:rPr>
                <w:rFonts w:asciiTheme="minorEastAsia" w:hAnsiTheme="minorEastAsia"/>
                <w:sz w:val="20"/>
                <w:szCs w:val="20"/>
              </w:rPr>
            </w:pPr>
            <w:r>
              <w:rPr>
                <w:rFonts w:asciiTheme="minorEastAsia" w:hAnsiTheme="minorEastAsia"/>
                <w:sz w:val="20"/>
                <w:szCs w:val="20"/>
              </w:rPr>
              <w:t>2.该指标</w:t>
            </w:r>
            <w:r>
              <w:rPr>
                <w:rFonts w:hint="eastAsia" w:asciiTheme="minorEastAsia" w:hAnsiTheme="minorEastAsia"/>
                <w:sz w:val="20"/>
                <w:szCs w:val="20"/>
              </w:rPr>
              <w:t>如果填报</w:t>
            </w:r>
            <w:r>
              <w:rPr>
                <w:rFonts w:asciiTheme="minorEastAsia" w:hAnsiTheme="minorEastAsia"/>
                <w:sz w:val="20"/>
                <w:szCs w:val="20"/>
              </w:rPr>
              <w:t>100%，“在孵电子商务企业数量”应为0。</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孵化毕业企业名单，包括企业名称、企业法人、主营业务、营业地址。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公共服务</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专业服务</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1.基地是否</w:t>
            </w:r>
            <w:r>
              <w:rPr>
                <w:rFonts w:hint="eastAsia" w:asciiTheme="minorEastAsia" w:hAnsiTheme="minorEastAsia"/>
                <w:sz w:val="20"/>
                <w:szCs w:val="20"/>
              </w:rPr>
              <w:t>为入驻企业提供</w:t>
            </w:r>
            <w:r>
              <w:rPr>
                <w:rFonts w:asciiTheme="minorEastAsia" w:hAnsiTheme="minorEastAsia"/>
                <w:sz w:val="20"/>
                <w:szCs w:val="20"/>
              </w:rPr>
              <w:t>仓储物流、</w:t>
            </w:r>
            <w:r>
              <w:rPr>
                <w:rFonts w:hint="eastAsia" w:asciiTheme="minorEastAsia" w:hAnsiTheme="minorEastAsia"/>
                <w:sz w:val="20"/>
                <w:szCs w:val="20"/>
              </w:rPr>
              <w:t>摄影美工、</w:t>
            </w:r>
            <w:r>
              <w:rPr>
                <w:rFonts w:asciiTheme="minorEastAsia" w:hAnsiTheme="minorEastAsia"/>
                <w:sz w:val="20"/>
                <w:szCs w:val="20"/>
              </w:rPr>
              <w:t>客服托管</w:t>
            </w:r>
            <w:r>
              <w:rPr>
                <w:rFonts w:hint="eastAsia" w:asciiTheme="minorEastAsia" w:hAnsiTheme="minorEastAsia"/>
                <w:sz w:val="20"/>
                <w:szCs w:val="20"/>
              </w:rPr>
              <w:t>、</w:t>
            </w:r>
            <w:r>
              <w:rPr>
                <w:rFonts w:asciiTheme="minorEastAsia" w:hAnsiTheme="minorEastAsia"/>
                <w:sz w:val="20"/>
                <w:szCs w:val="20"/>
              </w:rPr>
              <w:t>代运营</w:t>
            </w:r>
            <w:r>
              <w:rPr>
                <w:rFonts w:hint="eastAsia" w:asciiTheme="minorEastAsia" w:hAnsiTheme="minorEastAsia"/>
                <w:sz w:val="20"/>
                <w:szCs w:val="20"/>
              </w:rPr>
              <w:t>、会计事务、专利申办、评估咨询、法律支持等专业服务。</w:t>
            </w:r>
          </w:p>
          <w:p>
            <w:pPr>
              <w:spacing w:after="0" w:line="260" w:lineRule="exact"/>
              <w:contextualSpacing/>
              <w:rPr>
                <w:rFonts w:asciiTheme="minorEastAsia" w:hAnsiTheme="minorEastAsia"/>
                <w:sz w:val="20"/>
                <w:szCs w:val="20"/>
              </w:rPr>
            </w:pPr>
            <w:r>
              <w:rPr>
                <w:rFonts w:asciiTheme="minorEastAsia" w:hAnsiTheme="minorEastAsia"/>
                <w:sz w:val="20"/>
                <w:szCs w:val="20"/>
              </w:rPr>
              <w:t>2.有关融资、人才、创业、跨境电商等服务不在</w:t>
            </w:r>
            <w:r>
              <w:rPr>
                <w:rFonts w:hint="eastAsia" w:asciiTheme="minorEastAsia" w:hAnsiTheme="minorEastAsia"/>
                <w:sz w:val="20"/>
                <w:szCs w:val="20"/>
              </w:rPr>
              <w:t>“</w:t>
            </w:r>
            <w:r>
              <w:rPr>
                <w:rFonts w:asciiTheme="minorEastAsia" w:hAnsiTheme="minorEastAsia"/>
                <w:sz w:val="20"/>
                <w:szCs w:val="20"/>
              </w:rPr>
              <w:t>其他</w:t>
            </w:r>
            <w:r>
              <w:rPr>
                <w:rFonts w:hint="eastAsia" w:asciiTheme="minorEastAsia" w:hAnsiTheme="minorEastAsia"/>
                <w:sz w:val="20"/>
                <w:szCs w:val="20"/>
              </w:rPr>
              <w:t>”</w:t>
            </w:r>
            <w:r>
              <w:rPr>
                <w:rFonts w:asciiTheme="minorEastAsia" w:hAnsiTheme="minorEastAsia"/>
                <w:sz w:val="20"/>
                <w:szCs w:val="20"/>
              </w:rPr>
              <w:t>专业服务中体现。</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行政服务</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1.基地是否为入驻企业提供工商注册、年审年检、税务登记、项目申报等便利服务。</w:t>
            </w:r>
          </w:p>
          <w:p>
            <w:pPr>
              <w:spacing w:after="0" w:line="260" w:lineRule="exact"/>
              <w:contextualSpacing/>
              <w:rPr>
                <w:rFonts w:asciiTheme="minorEastAsia" w:hAnsiTheme="minorEastAsia"/>
                <w:sz w:val="20"/>
                <w:szCs w:val="20"/>
              </w:rPr>
            </w:pPr>
            <w:r>
              <w:rPr>
                <w:rFonts w:asciiTheme="minorEastAsia" w:hAnsiTheme="minorEastAsia"/>
                <w:sz w:val="20"/>
                <w:szCs w:val="20"/>
              </w:rPr>
              <w:t>2.有关融资、人才、创业、跨境电商等服务不在</w:t>
            </w:r>
            <w:r>
              <w:rPr>
                <w:rFonts w:hint="eastAsia" w:asciiTheme="minorEastAsia" w:hAnsiTheme="minorEastAsia"/>
                <w:sz w:val="20"/>
                <w:szCs w:val="20"/>
              </w:rPr>
              <w:t>“</w:t>
            </w:r>
            <w:r>
              <w:rPr>
                <w:rFonts w:asciiTheme="minorEastAsia" w:hAnsiTheme="minorEastAsia"/>
                <w:sz w:val="20"/>
                <w:szCs w:val="20"/>
              </w:rPr>
              <w:t>其他</w:t>
            </w:r>
            <w:r>
              <w:rPr>
                <w:rFonts w:hint="eastAsia" w:asciiTheme="minorEastAsia" w:hAnsiTheme="minorEastAsia"/>
                <w:sz w:val="20"/>
                <w:szCs w:val="20"/>
              </w:rPr>
              <w:t>”</w:t>
            </w:r>
            <w:r>
              <w:rPr>
                <w:rFonts w:asciiTheme="minorEastAsia" w:hAnsiTheme="minorEastAsia"/>
                <w:sz w:val="20"/>
                <w:szCs w:val="20"/>
              </w:rPr>
              <w:t>行政便利化服务中体现。</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rFonts w:ascii="华文细黑" w:hAnsi="华文细黑" w:eastAsia="华文细黑"/>
                <w:b/>
              </w:rPr>
            </w:pPr>
            <w:r>
              <w:rPr>
                <w:rFonts w:hint="eastAsia" w:ascii="黑体" w:hAnsi="黑体" w:eastAsia="黑体" w:cs="黑体"/>
                <w:bCs/>
                <w:sz w:val="24"/>
                <w:szCs w:val="24"/>
              </w:rPr>
              <w:t>保障能力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党建水平</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党员人数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基地所有电子商务企业的员工中党员总数，包括正式党员和预备党员。</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按企业统计，包括企业名单、党员人数；与“全体电子商务企业从业人数”等指标的证明材料可共用一张表格。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设立党组织的</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电商企业数量</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基地内设立党组织的电子商务企业总数。</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设立党组织的电商企业名单（与地方联合组建的党组织需注明）。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责任落实</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为落实党建工作责任制，基地是否开展以下工作：将党建工作同业务工作同部署、同检查、同总结；落实“三会一课”制度；开展理想信念和法规法纪教育；开展经常性思想工作；召开民主生活会、组织生活会，开展党建述职、民主评议党员活动；积极发展党员；收缴党费并合理使用管理；加强流动党员管理，党组织关系</w:t>
            </w:r>
            <w:r>
              <w:rPr>
                <w:rFonts w:hint="eastAsia" w:asciiTheme="minorEastAsia" w:hAnsiTheme="minorEastAsia"/>
                <w:sz w:val="20"/>
                <w:szCs w:val="20"/>
                <w:lang w:eastAsia="zh-CN"/>
              </w:rPr>
              <w:t>接转</w:t>
            </w:r>
            <w:r>
              <w:rPr>
                <w:rFonts w:hint="eastAsia" w:asciiTheme="minorEastAsia" w:hAnsiTheme="minorEastAsia"/>
                <w:sz w:val="20"/>
                <w:szCs w:val="20"/>
              </w:rPr>
              <w:t>及时规范到位；依法稳妥处置不合格党员。</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党风廉政</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在加强党风廉政建设方面，基地是否开展以下工作：党组织执行政治纪律和政治规矩；定期开展党风廉政建设和反腐倡廉教育。</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党组织</w:t>
            </w:r>
            <w:r>
              <w:rPr>
                <w:rFonts w:asciiTheme="minorEastAsia" w:hAnsiTheme="minorEastAsia"/>
                <w:sz w:val="20"/>
                <w:szCs w:val="20"/>
              </w:rPr>
              <w:t>表彰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基地受到上级党组织表彰先进党委、党总支、党支部的情况</w:t>
            </w:r>
            <w:r>
              <w:rPr>
                <w:rFonts w:asciiTheme="minorEastAsia" w:hAnsiTheme="minorEastAsia"/>
                <w:sz w:val="20"/>
                <w:szCs w:val="20"/>
              </w:rPr>
              <w:t>。</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相关证书</w:t>
            </w:r>
            <w:r>
              <w:rPr>
                <w:rFonts w:asciiTheme="minorEastAsia" w:hAnsiTheme="minorEastAsia"/>
                <w:sz w:val="20"/>
                <w:szCs w:val="20"/>
              </w:rPr>
              <w:t>、</w:t>
            </w:r>
            <w:r>
              <w:rPr>
                <w:rFonts w:hint="eastAsia" w:asciiTheme="minorEastAsia" w:hAnsiTheme="minorEastAsia"/>
                <w:sz w:val="20"/>
                <w:szCs w:val="20"/>
              </w:rPr>
              <w:t>报道、会议记录等。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环境营造</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报告协调机制</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基地是否与地方商务主管部门建立报告协调机制。</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相关通知、报告、报道、会议记录等。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统计监测</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截至报告期末，基地是否开展电子商务统计监测工作；是否及时上报信息、数据并保证数据的真实准确。</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实施电子商务统计监测的制度、方案相关文件及表格等。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电商专项政策支持</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1.截至报告期末，基地所在地方是否制定并实施支持基地电子商务发展和示范建设的专项政策。</w:t>
            </w:r>
          </w:p>
          <w:p>
            <w:pPr>
              <w:spacing w:after="0" w:line="260" w:lineRule="exact"/>
              <w:contextualSpacing/>
              <w:rPr>
                <w:rFonts w:asciiTheme="minorEastAsia" w:hAnsiTheme="minorEastAsia"/>
                <w:sz w:val="20"/>
                <w:szCs w:val="20"/>
              </w:rPr>
            </w:pPr>
            <w:r>
              <w:rPr>
                <w:rFonts w:asciiTheme="minorEastAsia" w:hAnsiTheme="minorEastAsia"/>
                <w:sz w:val="20"/>
                <w:szCs w:val="20"/>
              </w:rPr>
              <w:t>2.不应以所在地区的普惠性质的扶持政策代替基地的电商专项政策。</w:t>
            </w:r>
          </w:p>
          <w:p>
            <w:pPr>
              <w:spacing w:after="0" w:line="260" w:lineRule="exact"/>
              <w:contextualSpacing/>
              <w:rPr>
                <w:rFonts w:asciiTheme="minorEastAsia" w:hAnsiTheme="minorEastAsia"/>
                <w:sz w:val="20"/>
                <w:szCs w:val="20"/>
              </w:rPr>
            </w:pPr>
            <w:r>
              <w:rPr>
                <w:rFonts w:asciiTheme="minorEastAsia" w:hAnsiTheme="minorEastAsia"/>
                <w:sz w:val="20"/>
                <w:szCs w:val="20"/>
              </w:rPr>
              <w:t>3.不应以非电商政策代替。</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政策文件名称、编号、复印件等。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电商基地运营年限</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年</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1.截至报告期末，基地开园运营年限。</w:t>
            </w:r>
          </w:p>
          <w:p>
            <w:pPr>
              <w:spacing w:after="0" w:line="260" w:lineRule="exact"/>
              <w:contextualSpacing/>
              <w:rPr>
                <w:rFonts w:asciiTheme="minorEastAsia" w:hAnsiTheme="minorEastAsia"/>
                <w:sz w:val="20"/>
                <w:szCs w:val="20"/>
              </w:rPr>
            </w:pPr>
            <w:r>
              <w:rPr>
                <w:rFonts w:asciiTheme="minorEastAsia" w:hAnsiTheme="minorEastAsia"/>
                <w:sz w:val="20"/>
                <w:szCs w:val="20"/>
              </w:rPr>
              <w:t>2.按照基地自第一家电子商务企业入驻之日计算，此时间点若早于正式开园时间，按开园时间计算。</w:t>
            </w:r>
          </w:p>
          <w:p>
            <w:pPr>
              <w:spacing w:after="0" w:line="260" w:lineRule="exact"/>
              <w:contextualSpacing/>
              <w:rPr>
                <w:rFonts w:asciiTheme="minorEastAsia" w:hAnsiTheme="minorEastAsia"/>
                <w:sz w:val="20"/>
                <w:szCs w:val="20"/>
              </w:rPr>
            </w:pPr>
            <w:r>
              <w:rPr>
                <w:rFonts w:asciiTheme="minorEastAsia" w:hAnsiTheme="minorEastAsia"/>
                <w:sz w:val="20"/>
                <w:szCs w:val="20"/>
              </w:rPr>
              <w:t>3.可以细化到月份，如2年8个月。</w:t>
            </w:r>
          </w:p>
          <w:p>
            <w:pPr>
              <w:spacing w:after="0" w:line="260" w:lineRule="exact"/>
              <w:contextualSpacing/>
              <w:rPr>
                <w:rFonts w:asciiTheme="minorEastAsia" w:hAnsiTheme="minorEastAsia"/>
                <w:sz w:val="20"/>
                <w:szCs w:val="20"/>
              </w:rPr>
            </w:pPr>
            <w:r>
              <w:rPr>
                <w:rFonts w:asciiTheme="minorEastAsia" w:hAnsiTheme="minorEastAsia"/>
                <w:sz w:val="20"/>
                <w:szCs w:val="20"/>
              </w:rPr>
              <w:t>4.不应是工业区、高新区、经开区等其他类型园区设立或建区年限。</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宣传交流</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基地是否及时总结好经验、好做法，梳理典型案例，在各种媒体进行宣传推广；通过会议、论坛、交流活动等开展政产学研合作。</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活动照片、新闻报道，包括日期、媒体、报道名称、主要内容等。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典型</w:t>
            </w:r>
            <w:r>
              <w:rPr>
                <w:rFonts w:asciiTheme="minorEastAsia" w:hAnsiTheme="minorEastAsia"/>
                <w:sz w:val="20"/>
                <w:szCs w:val="20"/>
              </w:rPr>
              <w:t>经验</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基地相关经验做法是否通过</w:t>
            </w:r>
            <w:r>
              <w:rPr>
                <w:rFonts w:asciiTheme="minorEastAsia" w:hAnsiTheme="minorEastAsia"/>
                <w:sz w:val="20"/>
                <w:szCs w:val="20"/>
              </w:rPr>
              <w:t>以下方式</w:t>
            </w:r>
            <w:r>
              <w:rPr>
                <w:rFonts w:hint="eastAsia" w:asciiTheme="minorEastAsia" w:hAnsiTheme="minorEastAsia"/>
                <w:sz w:val="20"/>
                <w:szCs w:val="20"/>
              </w:rPr>
              <w:t>获得商务部肯定：在全国性会议进行交流；入选商务部编发国家电子商务示范基地案例集；被商务部相关刊物转载；</w:t>
            </w:r>
            <w:r>
              <w:rPr>
                <w:rFonts w:asciiTheme="minorEastAsia" w:hAnsiTheme="minorEastAsia"/>
                <w:sz w:val="20"/>
                <w:szCs w:val="20"/>
              </w:rPr>
              <w:t>通过</w:t>
            </w:r>
            <w:r>
              <w:rPr>
                <w:rFonts w:hint="eastAsia" w:asciiTheme="minorEastAsia" w:hAnsiTheme="minorEastAsia"/>
                <w:sz w:val="20"/>
                <w:szCs w:val="20"/>
              </w:rPr>
              <w:t>国际商报或商务微新闻进行报道。</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相关内容复印件。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绿色发展</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制度规划</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截至报告期末，是否制定基地绿色发展规划或促进基地内企业绿色发展的激励措施。</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制度文件、规划方案、行动计划等。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宣传推广</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截至报告期末，是否在基地内开展了绿色环保政策法规方面的宣传推广活动，是否组织了相关培训。</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新闻报道、具体做法、活动记录、宣传设施照片等。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资金</w:t>
            </w:r>
            <w:r>
              <w:rPr>
                <w:rFonts w:asciiTheme="minorEastAsia" w:hAnsiTheme="minorEastAsia"/>
                <w:sz w:val="20"/>
                <w:szCs w:val="20"/>
              </w:rPr>
              <w:t>支持</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截至报告期末，基地是否安排支持企业绿色发展资金，是否组织或引导企业开展数字化运营。</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绿色仓配</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截至报告期末，基地是否建设绿色仓配设施，是否开展企业资源共享，是否配备新能源、清洁能源车辆。</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配套措施</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截至报告期末，基地是否建设节水、节电、节气系统，是否配备垃圾分类配套设施及其他节能增效举措。</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安全</w:t>
            </w:r>
            <w:r>
              <w:rPr>
                <w:rFonts w:ascii="楷体" w:hAnsi="楷体" w:eastAsia="楷体"/>
                <w:sz w:val="24"/>
                <w:szCs w:val="24"/>
              </w:rPr>
              <w:t>生产</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安全</w:t>
            </w:r>
            <w:r>
              <w:rPr>
                <w:rFonts w:asciiTheme="minorEastAsia" w:hAnsiTheme="minorEastAsia"/>
                <w:sz w:val="20"/>
                <w:szCs w:val="20"/>
              </w:rPr>
              <w:t>审查</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截至报告期末，基地是否严格入驻基地项目安全条件审查和准入把关，将不符合安全生产要求的企业淘汰退出基地。</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管理制度</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截至报告期末，是否制定基地安全生产管理制度；基地主要负责人作为法定的安全生产第一责任人，是否负责安全生产工作。</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应急预案</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截至报告期末，基地是否制定火灾等突发事件应急处置预案；是否定期组织开展消防等突发事件演练。</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排查</w:t>
            </w:r>
            <w:r>
              <w:rPr>
                <w:rFonts w:asciiTheme="minorEastAsia" w:hAnsiTheme="minorEastAsia"/>
                <w:sz w:val="20"/>
                <w:szCs w:val="20"/>
              </w:rPr>
              <w:t>隐患</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截至报告期末，是否定期对基地和基地内企业的水、电、油、气及仓储物流等设备设施等进行维护、检查，及时排查整改安全隐患。</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落实</w:t>
            </w:r>
            <w:r>
              <w:rPr>
                <w:rFonts w:asciiTheme="minorEastAsia" w:hAnsiTheme="minorEastAsia"/>
                <w:sz w:val="20"/>
                <w:szCs w:val="20"/>
              </w:rPr>
              <w:t>责任</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截至报告期末，是否督促基地内企业全面落实安全生产责任。</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主要督促手段和激励措施。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配套</w:t>
            </w:r>
            <w:r>
              <w:rPr>
                <w:rFonts w:asciiTheme="minorEastAsia" w:hAnsiTheme="minorEastAsia"/>
                <w:sz w:val="20"/>
                <w:szCs w:val="20"/>
              </w:rPr>
              <w:t>设施</w:t>
            </w:r>
          </w:p>
        </w:tc>
        <w:tc>
          <w:tcPr>
            <w:tcW w:w="851"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截至报告期末，基地是否定期完善有利于安全生产的公用工程配套和安全保障设施。</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w:t>
            </w:r>
            <w:r>
              <w:rPr>
                <w:rFonts w:hint="eastAsia" w:asciiTheme="minorEastAsia" w:hAnsiTheme="minorEastAsia"/>
                <w:sz w:val="20"/>
                <w:szCs w:val="20"/>
                <w:lang w:eastAsia="zh-CN"/>
              </w:rPr>
              <w:t>、</w:t>
            </w:r>
            <w:r>
              <w:rPr>
                <w:rFonts w:hint="eastAsia" w:asciiTheme="minorEastAsia" w:hAnsiTheme="minorEastAsia"/>
                <w:sz w:val="20"/>
                <w:szCs w:val="20"/>
              </w:rPr>
              <w:t>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资金投入</w:t>
            </w:r>
          </w:p>
        </w:tc>
        <w:tc>
          <w:tcPr>
            <w:tcW w:w="851"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截至报告期末，基地投入安全生产建设资金金额</w:t>
            </w:r>
            <w:r>
              <w:rPr>
                <w:rFonts w:asciiTheme="minorEastAsia" w:hAnsiTheme="minorEastAsia"/>
                <w:sz w:val="20"/>
                <w:szCs w:val="20"/>
              </w:rPr>
              <w:t>。</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2022年基地投入安全生产建设资金支出明细及相关</w:t>
            </w:r>
            <w:r>
              <w:rPr>
                <w:rFonts w:asciiTheme="minorEastAsia" w:hAnsiTheme="minorEastAsia"/>
                <w:sz w:val="20"/>
                <w:szCs w:val="20"/>
              </w:rPr>
              <w:t>用途</w:t>
            </w:r>
            <w:r>
              <w:rPr>
                <w:rFonts w:hint="eastAsia" w:asciiTheme="minorEastAsia" w:hAnsi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安全事故</w:t>
            </w:r>
          </w:p>
        </w:tc>
        <w:tc>
          <w:tcPr>
            <w:tcW w:w="851"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是/否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截至报告期末，基地是否发生较大或重特大生产安全事故。</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若</w:t>
            </w:r>
            <w:r>
              <w:rPr>
                <w:rFonts w:asciiTheme="minorEastAsia" w:hAnsiTheme="minorEastAsia"/>
                <w:sz w:val="20"/>
                <w:szCs w:val="20"/>
              </w:rPr>
              <w:t>发生</w:t>
            </w:r>
            <w:r>
              <w:rPr>
                <w:rFonts w:hint="eastAsia" w:asciiTheme="minorEastAsia" w:hAnsiTheme="minorEastAsia"/>
                <w:sz w:val="20"/>
                <w:szCs w:val="20"/>
              </w:rPr>
              <w:t>生产安全事故，需提供</w:t>
            </w:r>
            <w:r>
              <w:rPr>
                <w:rFonts w:asciiTheme="minorEastAsia" w:hAnsiTheme="minorEastAsia"/>
                <w:sz w:val="20"/>
                <w:szCs w:val="20"/>
              </w:rPr>
              <w:t>事故</w:t>
            </w:r>
            <w:r>
              <w:rPr>
                <w:rFonts w:hint="eastAsia" w:asciiTheme="minorEastAsia" w:hAnsiTheme="minorEastAsia"/>
                <w:sz w:val="20"/>
                <w:szCs w:val="20"/>
              </w:rPr>
              <w:t>情况</w:t>
            </w:r>
            <w:r>
              <w:rPr>
                <w:rFonts w:asciiTheme="minorEastAsia" w:hAnsiTheme="minorEastAsia"/>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bCs/>
              </w:rPr>
            </w:pPr>
            <w:r>
              <w:rPr>
                <w:rFonts w:hint="eastAsia" w:ascii="黑体" w:hAnsi="黑体" w:eastAsia="黑体" w:cs="黑体"/>
                <w:bCs/>
                <w:sz w:val="24"/>
                <w:szCs w:val="24"/>
              </w:rPr>
              <w:t>示范能力</w:t>
            </w:r>
          </w:p>
        </w:tc>
        <w:tc>
          <w:tcPr>
            <w:tcW w:w="709" w:type="dxa"/>
            <w:vMerge w:val="restart"/>
            <w:vAlign w:val="center"/>
          </w:tcPr>
          <w:p>
            <w:pPr>
              <w:spacing w:after="0" w:line="260" w:lineRule="exact"/>
              <w:contextualSpacing/>
              <w:jc w:val="center"/>
              <w:rPr>
                <w:rFonts w:ascii="楷体" w:hAnsi="楷体" w:eastAsia="楷体"/>
                <w:bCs/>
                <w:sz w:val="24"/>
                <w:szCs w:val="24"/>
              </w:rPr>
            </w:pPr>
            <w:r>
              <w:rPr>
                <w:rFonts w:hint="eastAsia" w:ascii="楷体" w:hAnsi="楷体" w:eastAsia="楷体"/>
                <w:bCs/>
                <w:sz w:val="24"/>
                <w:szCs w:val="24"/>
              </w:rPr>
              <w:t>发展规模与速度</w:t>
            </w:r>
          </w:p>
        </w:tc>
        <w:tc>
          <w:tcPr>
            <w:tcW w:w="1979"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电子商务交易额</w:t>
            </w:r>
          </w:p>
        </w:tc>
        <w:tc>
          <w:tcPr>
            <w:tcW w:w="851" w:type="dxa"/>
            <w:vAlign w:val="center"/>
          </w:tcPr>
          <w:p>
            <w:pPr>
              <w:spacing w:after="0" w:line="260" w:lineRule="exact"/>
              <w:contextualSpacing/>
              <w:jc w:val="center"/>
              <w:rPr>
                <w:rFonts w:asciiTheme="minorEastAsia" w:hAnsiTheme="minorEastAsia"/>
                <w:bCs/>
                <w:sz w:val="20"/>
                <w:szCs w:val="20"/>
              </w:rPr>
            </w:pPr>
            <w:r>
              <w:rPr>
                <w:rFonts w:hint="eastAsia" w:asciiTheme="minorEastAsia" w:hAnsiTheme="minorEastAsia"/>
                <w:bCs/>
                <w:sz w:val="20"/>
                <w:szCs w:val="20"/>
              </w:rPr>
              <w:t>万元</w:t>
            </w:r>
          </w:p>
        </w:tc>
        <w:tc>
          <w:tcPr>
            <w:tcW w:w="5528" w:type="dxa"/>
            <w:vAlign w:val="center"/>
          </w:tcPr>
          <w:p>
            <w:pPr>
              <w:spacing w:after="0" w:line="260" w:lineRule="exact"/>
              <w:contextualSpacing/>
              <w:rPr>
                <w:rFonts w:asciiTheme="minorEastAsia" w:hAnsiTheme="minorEastAsia"/>
                <w:bCs/>
                <w:sz w:val="20"/>
                <w:szCs w:val="20"/>
              </w:rPr>
            </w:pPr>
            <w:r>
              <w:rPr>
                <w:rFonts w:asciiTheme="minorEastAsia" w:hAnsiTheme="minorEastAsia"/>
                <w:bCs/>
                <w:sz w:val="20"/>
                <w:szCs w:val="20"/>
              </w:rPr>
              <w:t>1.在报告期内，基地全体电子商务企业产生的电子商务交易总额，包括企业间B2B电子商务交易额、网络零售额、跨境电子商务交易额、农产品交易额等。电子商务交易额统计口径如下：基地企业通过网络实现的交易，无论采用何种支付手段，无论买卖双方为企业或消费者，均将其视为电子商务，其成交额即为电子商务交易额。</w:t>
            </w:r>
          </w:p>
          <w:p>
            <w:pPr>
              <w:spacing w:after="0" w:line="260" w:lineRule="exact"/>
              <w:contextualSpacing/>
              <w:rPr>
                <w:rFonts w:asciiTheme="minorEastAsia" w:hAnsiTheme="minorEastAsia"/>
                <w:bCs/>
                <w:sz w:val="20"/>
                <w:szCs w:val="20"/>
              </w:rPr>
            </w:pPr>
            <w:r>
              <w:rPr>
                <w:rFonts w:asciiTheme="minorEastAsia" w:hAnsiTheme="minorEastAsia"/>
                <w:bCs/>
                <w:sz w:val="20"/>
                <w:szCs w:val="20"/>
              </w:rPr>
              <w:t>2.单位：万元，不要自行改变单位，如亿元。</w:t>
            </w:r>
          </w:p>
          <w:p>
            <w:pPr>
              <w:spacing w:after="0" w:line="260" w:lineRule="exact"/>
              <w:contextualSpacing/>
              <w:rPr>
                <w:rFonts w:asciiTheme="minorEastAsia" w:hAnsiTheme="minorEastAsia"/>
                <w:bCs/>
                <w:sz w:val="20"/>
                <w:szCs w:val="20"/>
              </w:rPr>
            </w:pPr>
            <w:r>
              <w:rPr>
                <w:rFonts w:asciiTheme="minorEastAsia" w:hAnsiTheme="minorEastAsia"/>
                <w:bCs/>
                <w:sz w:val="20"/>
                <w:szCs w:val="20"/>
              </w:rPr>
              <w:t>3.此数字应与自评报告相一致，下同。</w:t>
            </w:r>
          </w:p>
        </w:tc>
        <w:tc>
          <w:tcPr>
            <w:tcW w:w="3544" w:type="dxa"/>
            <w:vAlign w:val="center"/>
          </w:tcPr>
          <w:p>
            <w:pPr>
              <w:spacing w:after="0" w:line="260" w:lineRule="exact"/>
              <w:contextualSpacing/>
              <w:rPr>
                <w:rFonts w:asciiTheme="minorEastAsia" w:hAnsiTheme="minorEastAsia"/>
                <w:bCs/>
                <w:sz w:val="20"/>
                <w:szCs w:val="20"/>
              </w:rPr>
            </w:pPr>
            <w:r>
              <w:rPr>
                <w:rFonts w:asciiTheme="minorEastAsia" w:hAnsiTheme="minorEastAsia"/>
                <w:bCs/>
                <w:sz w:val="20"/>
                <w:szCs w:val="20"/>
              </w:rPr>
              <w:t>2022</w:t>
            </w:r>
            <w:r>
              <w:rPr>
                <w:rFonts w:hint="eastAsia" w:asciiTheme="minorEastAsia" w:hAnsiTheme="minorEastAsia"/>
                <w:bCs/>
                <w:sz w:val="20"/>
                <w:szCs w:val="20"/>
              </w:rPr>
              <w:t>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电子商务交易额</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计算公式为（报告期内基地电子商务交易额</w:t>
            </w:r>
            <w:r>
              <w:rPr>
                <w:rFonts w:asciiTheme="minorEastAsia" w:hAnsiTheme="minorEastAsia"/>
                <w:sz w:val="20"/>
                <w:szCs w:val="20"/>
              </w:rPr>
              <w:t>/上一年基地电子商务交易额-1）×100%。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营收总额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1.报告期内基地全体电子商务企业营业总收入。</w:t>
            </w:r>
          </w:p>
          <w:p>
            <w:pPr>
              <w:spacing w:after="0" w:line="260" w:lineRule="exact"/>
              <w:contextualSpacing/>
              <w:rPr>
                <w:rFonts w:asciiTheme="minorEastAsia" w:hAnsiTheme="minorEastAsia"/>
                <w:sz w:val="20"/>
                <w:szCs w:val="20"/>
              </w:rPr>
            </w:pPr>
            <w:r>
              <w:rPr>
                <w:rFonts w:asciiTheme="minorEastAsia" w:hAnsiTheme="minorEastAsia"/>
                <w:sz w:val="20"/>
                <w:szCs w:val="20"/>
              </w:rPr>
              <w:t>2.该营收应来源于基地电子商务企业进行的电子商务交易或提供的服务，而不应源于传统交易方式或其他非电商业务收入。</w:t>
            </w:r>
          </w:p>
          <w:p>
            <w:pPr>
              <w:spacing w:after="0" w:line="260" w:lineRule="exact"/>
              <w:contextualSpacing/>
              <w:rPr>
                <w:rFonts w:asciiTheme="minorEastAsia" w:hAnsiTheme="minorEastAsia"/>
                <w:sz w:val="20"/>
                <w:szCs w:val="20"/>
              </w:rPr>
            </w:pPr>
            <w:r>
              <w:rPr>
                <w:rFonts w:asciiTheme="minorEastAsia" w:hAnsiTheme="minorEastAsia"/>
                <w:sz w:val="20"/>
                <w:szCs w:val="20"/>
              </w:rPr>
              <w:t>3.不等同于电子商务交易额。如果出现此种情况，视为基地电商企业类型全部为自营网店或平台，且没有其他类型的电商企业。</w:t>
            </w:r>
          </w:p>
          <w:p>
            <w:pPr>
              <w:spacing w:after="0" w:line="260" w:lineRule="exact"/>
              <w:contextualSpacing/>
              <w:rPr>
                <w:rFonts w:asciiTheme="minorEastAsia" w:hAnsiTheme="minorEastAsia"/>
                <w:sz w:val="20"/>
                <w:szCs w:val="20"/>
              </w:rPr>
            </w:pPr>
            <w:r>
              <w:rPr>
                <w:rFonts w:asciiTheme="minorEastAsia" w:hAnsiTheme="minorEastAsia"/>
                <w:sz w:val="20"/>
                <w:szCs w:val="20"/>
              </w:rPr>
              <w:t>4.营收额如果远高于交易额，视为电商服务企业占比大，需提供相应的证明。</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营收增长率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计算公式为（报告期内基地电子商务企业营收总额</w:t>
            </w:r>
            <w:r>
              <w:rPr>
                <w:rFonts w:asciiTheme="minorEastAsia" w:hAnsiTheme="minorEastAsia"/>
                <w:sz w:val="20"/>
                <w:szCs w:val="20"/>
              </w:rPr>
              <w:t>/上一年基地电子商务企业营收总额-1）×100%。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缴税总额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报告期内基地全体电子商务企业缴税总额。电子商务企业缴税额指企业全年的应缴纳税总额，主要包括企业营业税、增值税、个人所得税、企业所得税、附加税等。</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缴税增长率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计算公式为（报告期内基地电子商务企业缴税总额</w:t>
            </w:r>
            <w:r>
              <w:rPr>
                <w:rFonts w:asciiTheme="minorEastAsia" w:hAnsiTheme="minorEastAsia"/>
                <w:sz w:val="20"/>
                <w:szCs w:val="20"/>
              </w:rPr>
              <w:t>/上一年基地电子商务企业缴税总额-1）×100%。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跨境电子商务</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交易额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1.基地内企业通过电子商务平台实现的、面向境外的产品（或服务）交易总金额。</w:t>
            </w:r>
          </w:p>
          <w:p>
            <w:pPr>
              <w:spacing w:after="0" w:line="260" w:lineRule="exact"/>
              <w:contextualSpacing/>
              <w:rPr>
                <w:rFonts w:asciiTheme="minorEastAsia" w:hAnsiTheme="minorEastAsia"/>
                <w:sz w:val="20"/>
                <w:szCs w:val="20"/>
              </w:rPr>
            </w:pPr>
            <w:r>
              <w:rPr>
                <w:rFonts w:asciiTheme="minorEastAsia" w:hAnsiTheme="minorEastAsia"/>
                <w:sz w:val="20"/>
                <w:szCs w:val="20"/>
              </w:rPr>
              <w:t>2.包括进口电商交易额和出口电商交易额。</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年电子商务企业跨境电子商务交易额构成明细，按企业统计。为便于操作，可将电子商务交易额、营收额、纳税额、跨境电子商务交易额四个明细表合并共用一张报表。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跨境电子商务交易额增长率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计算公式为（报告期内基地跨境电子商务交易额</w:t>
            </w:r>
            <w:r>
              <w:rPr>
                <w:rFonts w:asciiTheme="minorEastAsia" w:hAnsiTheme="minorEastAsia"/>
                <w:sz w:val="20"/>
                <w:szCs w:val="20"/>
              </w:rPr>
              <w:t>/上一年基地跨境电子商务交易额-1）×100%。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年跨境电子商务交易额构成明细，按企业统计。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示范带动</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研发成果数量</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1.基地电子商务企业获得的专利授权数量和软件著作权登记数量之和。</w:t>
            </w:r>
          </w:p>
          <w:p>
            <w:pPr>
              <w:spacing w:after="0" w:line="260" w:lineRule="exact"/>
              <w:contextualSpacing/>
              <w:rPr>
                <w:rFonts w:asciiTheme="minorEastAsia" w:hAnsiTheme="minorEastAsia"/>
                <w:sz w:val="20"/>
                <w:szCs w:val="20"/>
              </w:rPr>
            </w:pPr>
            <w:r>
              <w:rPr>
                <w:rFonts w:asciiTheme="minorEastAsia" w:hAnsiTheme="minorEastAsia"/>
                <w:sz w:val="20"/>
                <w:szCs w:val="20"/>
              </w:rPr>
              <w:t>2.电子商务企业研发成果应与电子商务业务直接相关，与电子商务业务无关的研发成果不应计入在内。</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专利证书号、名称、类型、权利人、取得时间等。</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软件著作权名称、登记号、属地、权利人、取得时间等。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创建商标品牌数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1.基地内电子商务企业注册的商标、产品品牌或服务品牌数量。</w:t>
            </w:r>
          </w:p>
          <w:p>
            <w:pPr>
              <w:spacing w:after="0" w:line="260" w:lineRule="exact"/>
              <w:contextualSpacing/>
              <w:rPr>
                <w:rFonts w:asciiTheme="minorEastAsia" w:hAnsiTheme="minorEastAsia"/>
                <w:sz w:val="20"/>
                <w:szCs w:val="20"/>
              </w:rPr>
            </w:pPr>
            <w:r>
              <w:rPr>
                <w:rFonts w:asciiTheme="minorEastAsia" w:hAnsiTheme="minorEastAsia"/>
                <w:sz w:val="20"/>
                <w:szCs w:val="20"/>
              </w:rPr>
              <w:t>2.该商标品牌的创建应直接来源于企业电子商务交易或服务经营活动，不应源于传统线下业务。</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商标图形、商标名称、注册号、登记日期、有效期限等。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“双品网购节”</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w:t>
            </w:r>
            <w:r>
              <w:rPr>
                <w:rFonts w:asciiTheme="minorEastAsia" w:hAnsiTheme="minorEastAsia"/>
                <w:sz w:val="20"/>
                <w:szCs w:val="20"/>
              </w:rPr>
              <w:t>交易额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电商企业参加报告年度“双品网购节”期间达成</w:t>
            </w:r>
            <w:r>
              <w:rPr>
                <w:rFonts w:asciiTheme="minorEastAsia" w:hAnsiTheme="minorEastAsia"/>
                <w:sz w:val="20"/>
                <w:szCs w:val="20"/>
              </w:rPr>
              <w:t>的电商</w:t>
            </w:r>
            <w:r>
              <w:rPr>
                <w:rFonts w:hint="eastAsia" w:asciiTheme="minorEastAsia" w:hAnsiTheme="minorEastAsia"/>
                <w:sz w:val="20"/>
                <w:szCs w:val="20"/>
              </w:rPr>
              <w:t>交易额。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“双品网购节”的相关文件、通知要求，参加企业名单、交易</w:t>
            </w:r>
            <w:r>
              <w:rPr>
                <w:rFonts w:asciiTheme="minorEastAsia" w:hAnsiTheme="minorEastAsia"/>
                <w:sz w:val="20"/>
                <w:szCs w:val="20"/>
              </w:rPr>
              <w:t>额构成明细</w:t>
            </w:r>
            <w:r>
              <w:rPr>
                <w:rFonts w:hint="eastAsia" w:asciiTheme="minorEastAsia" w:hAnsiTheme="minorEastAsia"/>
                <w:sz w:val="20"/>
                <w:szCs w:val="20"/>
              </w:rPr>
              <w:t>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“全国网上年货节”</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w:t>
            </w:r>
            <w:r>
              <w:rPr>
                <w:rFonts w:asciiTheme="minorEastAsia" w:hAnsiTheme="minorEastAsia"/>
                <w:sz w:val="20"/>
                <w:szCs w:val="20"/>
              </w:rPr>
              <w:t>交易额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电商企业参加报告年度“全国网上年货节”期间达成</w:t>
            </w:r>
            <w:r>
              <w:rPr>
                <w:rFonts w:asciiTheme="minorEastAsia" w:hAnsiTheme="minorEastAsia"/>
                <w:sz w:val="20"/>
                <w:szCs w:val="20"/>
              </w:rPr>
              <w:t>的电商</w:t>
            </w:r>
            <w:r>
              <w:rPr>
                <w:rFonts w:hint="eastAsia" w:asciiTheme="minorEastAsia" w:hAnsiTheme="minorEastAsia"/>
                <w:sz w:val="20"/>
                <w:szCs w:val="20"/>
              </w:rPr>
              <w:t>交易额。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“全国网上年货节”的相关文件、通知要求，参加企业名单、交易</w:t>
            </w:r>
            <w:r>
              <w:rPr>
                <w:rFonts w:asciiTheme="minorEastAsia" w:hAnsiTheme="minorEastAsia"/>
                <w:sz w:val="20"/>
                <w:szCs w:val="20"/>
              </w:rPr>
              <w:t>额构成明细</w:t>
            </w:r>
            <w:r>
              <w:rPr>
                <w:rFonts w:hint="eastAsia" w:asciiTheme="minorEastAsia" w:hAnsiTheme="minorEastAsia"/>
                <w:sz w:val="20"/>
                <w:szCs w:val="20"/>
              </w:rPr>
              <w:t>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进博会成交额</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万元</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企业参加报告年度中国国际进口博览会期间达成</w:t>
            </w:r>
            <w:r>
              <w:rPr>
                <w:rFonts w:asciiTheme="minorEastAsia" w:hAnsiTheme="minorEastAsia"/>
                <w:sz w:val="20"/>
                <w:szCs w:val="20"/>
              </w:rPr>
              <w:t>的</w:t>
            </w:r>
            <w:r>
              <w:rPr>
                <w:rFonts w:hint="eastAsia" w:asciiTheme="minorEastAsia" w:hAnsiTheme="minorEastAsia"/>
                <w:sz w:val="20"/>
                <w:szCs w:val="20"/>
              </w:rPr>
              <w:t>交易额。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进博会的相关文件、通知要求，参加企业名单、成交额</w:t>
            </w:r>
            <w:r>
              <w:rPr>
                <w:rFonts w:asciiTheme="minorEastAsia" w:hAnsiTheme="minorEastAsia"/>
                <w:sz w:val="20"/>
                <w:szCs w:val="20"/>
              </w:rPr>
              <w:t>构成明细</w:t>
            </w:r>
            <w:r>
              <w:rPr>
                <w:rFonts w:hint="eastAsia" w:asciiTheme="minorEastAsia" w:hAnsiTheme="minorEastAsia"/>
                <w:sz w:val="20"/>
                <w:szCs w:val="20"/>
              </w:rPr>
              <w:t>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hint="eastAsia" w:asciiTheme="minorEastAsia" w:hAnsiTheme="minorEastAsia"/>
                <w:sz w:val="20"/>
                <w:szCs w:val="20"/>
                <w:lang w:eastAsia="zh-CN"/>
              </w:rPr>
            </w:pPr>
            <w:r>
              <w:rPr>
                <w:rFonts w:hint="eastAsia" w:asciiTheme="minorEastAsia" w:hAnsiTheme="minorEastAsia"/>
                <w:sz w:val="20"/>
                <w:szCs w:val="20"/>
                <w:lang w:eastAsia="zh-CN"/>
              </w:rPr>
              <w:t>促进传统产业</w:t>
            </w:r>
          </w:p>
          <w:p>
            <w:pPr>
              <w:spacing w:after="0" w:line="260" w:lineRule="exact"/>
              <w:contextualSpacing/>
              <w:jc w:val="center"/>
              <w:rPr>
                <w:rFonts w:hint="eastAsia" w:asciiTheme="minorEastAsia" w:hAnsiTheme="minorEastAsia"/>
                <w:sz w:val="20"/>
                <w:szCs w:val="20"/>
                <w:lang w:eastAsia="zh-CN"/>
              </w:rPr>
            </w:pPr>
            <w:r>
              <w:rPr>
                <w:rFonts w:hint="eastAsia" w:asciiTheme="minorEastAsia" w:hAnsiTheme="minorEastAsia"/>
                <w:sz w:val="20"/>
                <w:szCs w:val="20"/>
                <w:lang w:eastAsia="zh-CN"/>
              </w:rPr>
              <w:t>数字化转型</w:t>
            </w:r>
          </w:p>
        </w:tc>
        <w:tc>
          <w:tcPr>
            <w:tcW w:w="851" w:type="dxa"/>
            <w:vAlign w:val="center"/>
          </w:tcPr>
          <w:p>
            <w:pPr>
              <w:spacing w:after="0" w:line="260" w:lineRule="exact"/>
              <w:contextualSpacing/>
              <w:jc w:val="center"/>
              <w:rPr>
                <w:rFonts w:hint="eastAsia" w:asciiTheme="minorEastAsia" w:hAnsiTheme="minorEastAsia" w:cstheme="majorEastAsia"/>
                <w:sz w:val="20"/>
                <w:szCs w:val="20"/>
              </w:rPr>
            </w:pPr>
            <w:r>
              <w:rPr>
                <w:rFonts w:hint="eastAsia" w:asciiTheme="minorEastAsia" w:hAnsiTheme="minorEastAsia" w:cstheme="majorEastAsia"/>
                <w:sz w:val="20"/>
                <w:szCs w:val="20"/>
              </w:rPr>
              <w:t>是</w:t>
            </w:r>
            <w:r>
              <w:rPr>
                <w:rFonts w:asciiTheme="minorEastAsia" w:hAnsiTheme="minorEastAsia" w:cstheme="majorEastAsia"/>
                <w:sz w:val="20"/>
                <w:szCs w:val="20"/>
              </w:rPr>
              <w:t>/否</w:t>
            </w:r>
          </w:p>
        </w:tc>
        <w:tc>
          <w:tcPr>
            <w:tcW w:w="5528" w:type="dxa"/>
            <w:vAlign w:val="center"/>
          </w:tcPr>
          <w:p>
            <w:pPr>
              <w:spacing w:after="0" w:line="260" w:lineRule="exact"/>
              <w:contextualSpacing/>
              <w:rPr>
                <w:rFonts w:hint="eastAsia" w:asciiTheme="minorEastAsia" w:hAnsiTheme="minorEastAsia"/>
                <w:sz w:val="20"/>
                <w:szCs w:val="20"/>
                <w:lang w:eastAsia="zh-CN"/>
              </w:rPr>
            </w:pPr>
            <w:r>
              <w:rPr>
                <w:rFonts w:hint="eastAsia" w:asciiTheme="minorEastAsia" w:hAnsiTheme="minorEastAsia"/>
                <w:sz w:val="20"/>
                <w:szCs w:val="20"/>
                <w:lang w:eastAsia="zh-CN"/>
              </w:rPr>
              <w:t>报告年度内，带动中小微企业数字化转型。</w:t>
            </w:r>
          </w:p>
        </w:tc>
        <w:tc>
          <w:tcPr>
            <w:tcW w:w="3544" w:type="dxa"/>
            <w:vAlign w:val="center"/>
          </w:tcPr>
          <w:p>
            <w:pPr>
              <w:spacing w:after="0" w:line="260" w:lineRule="exact"/>
              <w:contextualSpacing/>
              <w:rPr>
                <w:rFonts w:hint="eastAsia" w:asciiTheme="minorEastAsia" w:hAnsiTheme="minorEastAsia" w:cstheme="majorEastAsia"/>
                <w:sz w:val="20"/>
                <w:szCs w:val="20"/>
              </w:rPr>
            </w:pPr>
            <w:r>
              <w:rPr>
                <w:rFonts w:hint="eastAsia" w:asciiTheme="minorEastAsia" w:hAnsiTheme="minorEastAsia" w:cstheme="maj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华文楷体" w:hAnsi="华文楷体" w:eastAsia="华文楷体" w:cs="华文楷体"/>
                <w:sz w:val="24"/>
                <w:szCs w:val="24"/>
              </w:rPr>
            </w:pPr>
            <w:r>
              <w:rPr>
                <w:rFonts w:hint="eastAsia" w:ascii="华文楷体" w:hAnsi="华文楷体" w:eastAsia="华文楷体" w:cs="华文楷体"/>
                <w:sz w:val="24"/>
                <w:szCs w:val="24"/>
              </w:rPr>
              <w:t>数商</w:t>
            </w:r>
            <w:r>
              <w:rPr>
                <w:rFonts w:ascii="华文楷体" w:hAnsi="华文楷体" w:eastAsia="华文楷体" w:cs="华文楷体"/>
                <w:sz w:val="24"/>
                <w:szCs w:val="24"/>
              </w:rPr>
              <w:t>兴农</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带动农村人口创业</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就业人数</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人</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基地通过农村电商带动农村人口创业就业人数。</w:t>
            </w:r>
            <w:r>
              <w:rPr>
                <w:rFonts w:asciiTheme="minorEastAsia" w:hAnsiTheme="minorEastAsia" w:cstheme="majorEastAsia"/>
                <w:sz w:val="20"/>
                <w:szCs w:val="20"/>
              </w:rPr>
              <w:t xml:space="preserve"> </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按企业统计，包括企业名称、地址、带动农村人口创业就业人数等。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华文楷体" w:hAnsi="华文楷体" w:eastAsia="华文楷体" w:cs="华文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农特产品品牌数量</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基地通过电商培育推广地方农特产品品牌数量。</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品牌</w:t>
            </w:r>
            <w:r>
              <w:rPr>
                <w:rFonts w:asciiTheme="minorEastAsia" w:hAnsiTheme="minorEastAsia" w:cstheme="majorEastAsia"/>
                <w:sz w:val="20"/>
                <w:szCs w:val="20"/>
              </w:rPr>
              <w:t>名称</w:t>
            </w:r>
            <w:r>
              <w:rPr>
                <w:rFonts w:hint="eastAsia" w:asciiTheme="minorEastAsia" w:hAnsiTheme="minorEastAsia" w:cstheme="majorEastAsia"/>
                <w:sz w:val="20"/>
                <w:szCs w:val="20"/>
              </w:rPr>
              <w:t>及相关销售</w:t>
            </w:r>
            <w:r>
              <w:rPr>
                <w:rFonts w:asciiTheme="minorEastAsia" w:hAnsiTheme="minorEastAsia" w:cstheme="majorEastAsia"/>
                <w:sz w:val="20"/>
                <w:szCs w:val="20"/>
              </w:rPr>
              <w:t>情况</w:t>
            </w:r>
            <w:r>
              <w:rPr>
                <w:rFonts w:hint="eastAsia" w:asciiTheme="minorEastAsia" w:hAnsiTheme="minorEastAsia" w:cstheme="majorEastAsia"/>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华文楷体" w:hAnsi="华文楷体" w:eastAsia="华文楷体" w:cs="华文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助农销售额</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万元</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基地通过电商助农销售金额。</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助农销售额构成明细，按企业统计。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华文楷体" w:hAnsi="华文楷体" w:eastAsia="华文楷体" w:cs="华文楷体"/>
                <w:sz w:val="24"/>
                <w:szCs w:val="24"/>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农村电商新基建</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是</w:t>
            </w:r>
            <w:r>
              <w:rPr>
                <w:rFonts w:asciiTheme="minorEastAsia" w:hAnsiTheme="minorEastAsia" w:cstheme="majorEastAsia"/>
                <w:sz w:val="20"/>
                <w:szCs w:val="20"/>
              </w:rPr>
              <w:t>/否</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基地</w:t>
            </w:r>
            <w:r>
              <w:rPr>
                <w:rFonts w:asciiTheme="minorEastAsia" w:hAnsiTheme="minorEastAsia" w:cstheme="majorEastAsia"/>
                <w:sz w:val="20"/>
                <w:szCs w:val="20"/>
              </w:rPr>
              <w:t>内</w:t>
            </w:r>
            <w:r>
              <w:rPr>
                <w:rFonts w:hint="eastAsia" w:asciiTheme="minorEastAsia" w:hAnsiTheme="minorEastAsia" w:cstheme="majorEastAsia"/>
                <w:sz w:val="20"/>
                <w:szCs w:val="20"/>
              </w:rPr>
              <w:t>电商企业应用物联网、5G技术、人工智能等技术建设智慧仓储、运输装备以及对现有仓配冷链设施数字化升级；推动适合乡村市场的数字化产品及服务下沉；开展农村电商数据中心建设；建设服务农村电商的直播间。</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color w:val="FF0000"/>
              </w:rP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吸纳就业</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全体电子商务企业</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从业人数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1.报告期末基地全体电子商务企业从业人员数量之和。</w:t>
            </w:r>
          </w:p>
          <w:p>
            <w:pPr>
              <w:spacing w:after="0" w:line="260" w:lineRule="exact"/>
              <w:contextualSpacing/>
              <w:rPr>
                <w:rFonts w:asciiTheme="minorEastAsia" w:hAnsiTheme="minorEastAsia"/>
                <w:sz w:val="20"/>
                <w:szCs w:val="20"/>
              </w:rPr>
            </w:pPr>
            <w:r>
              <w:rPr>
                <w:rFonts w:asciiTheme="minorEastAsia" w:hAnsiTheme="minorEastAsia"/>
                <w:sz w:val="20"/>
                <w:szCs w:val="20"/>
              </w:rPr>
              <w:t>2.企业从业人数统计口径：在本单位工作并取得劳动报酬或经营收入的实有人员数。从业人员还包括在各单位工作的外方人员和港澳台方人员、兼职人员、再就业的离退休人员、借用的外单位人员和第二职业者，但不包括离开本单位仍保留劳动关系的职工。</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2022年全体电子商务企业从业人数，按企业统计，包括企业名称、地址、从业人数、负责人</w:t>
            </w:r>
            <w:r>
              <w:rPr>
                <w:rFonts w:hint="eastAsia" w:asciiTheme="minorEastAsia" w:hAnsiTheme="minorEastAsia"/>
                <w:sz w:val="20"/>
                <w:szCs w:val="20"/>
              </w:rPr>
              <w:t>等</w:t>
            </w:r>
            <w:r>
              <w:rPr>
                <w:rFonts w:asciiTheme="minorEastAsia" w:hAnsi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电子商务</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从业人员增长率</w:t>
            </w:r>
          </w:p>
        </w:tc>
        <w:tc>
          <w:tcPr>
            <w:tcW w:w="851" w:type="dxa"/>
            <w:vAlign w:val="center"/>
          </w:tcPr>
          <w:p>
            <w:pPr>
              <w:spacing w:after="0" w:line="260" w:lineRule="exact"/>
              <w:contextualSpacing/>
              <w:jc w:val="center"/>
              <w:rPr>
                <w:rFonts w:asciiTheme="minorEastAsia" w:hAnsiTheme="minorEastAsia"/>
                <w:sz w:val="20"/>
                <w:szCs w:val="20"/>
              </w:rPr>
            </w:pPr>
            <w:r>
              <w:rPr>
                <w:rFonts w:asciiTheme="minorEastAsia" w:hAnsiTheme="minorEastAsia"/>
                <w:sz w:val="20"/>
                <w:szCs w:val="20"/>
              </w:rPr>
              <w:t>%</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报告年度末基地电子商务从业人数的同比增速。计算公式为（报告年度末基地电子商务从业人数</w:t>
            </w:r>
            <w:r>
              <w:rPr>
                <w:rFonts w:asciiTheme="minorEastAsia" w:hAnsiTheme="minorEastAsia"/>
                <w:sz w:val="20"/>
                <w:szCs w:val="20"/>
              </w:rPr>
              <w:t>/上一年度末基地电子商务从业人数-1）×100%。</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2021</w:t>
            </w:r>
            <w:r>
              <w:rPr>
                <w:rFonts w:hint="eastAsia" w:asciiTheme="minorEastAsia" w:hAnsiTheme="minorEastAsia"/>
                <w:sz w:val="20"/>
                <w:szCs w:val="20"/>
              </w:rPr>
              <w:t>年全体电子商务企业从业人数，按企业统计，包括企业名称、地址、从业人数、负责人等。与前一指标的证明材料可以共用一张报表。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吸纳农民工</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就业人数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报告期末基地全体电子商务企业吸纳农民工就业人数之和。</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年基地全体电子商务企业吸纳农民工就业人数，按企业统计，包括企业名称、地址等。与前一指标的证明材料可以共用一张报表。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吸纳应届大学</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毕业生就业人数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人</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报告期末基地全体电子商务企业吸纳应届大学生就业人数之和。</w:t>
            </w:r>
          </w:p>
        </w:tc>
        <w:tc>
          <w:tcPr>
            <w:tcW w:w="3544"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2022</w:t>
            </w:r>
            <w:r>
              <w:rPr>
                <w:rFonts w:hint="eastAsia" w:asciiTheme="minorEastAsia" w:hAnsiTheme="minorEastAsia"/>
                <w:sz w:val="20"/>
                <w:szCs w:val="20"/>
              </w:rPr>
              <w:t>年基地全体电子商务企业吸纳应届大学毕业生就业人数，按企业统计，包括企业名称、地址等。与前一指标的证明材料可以共用一张报表。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restart"/>
            <w:vAlign w:val="center"/>
          </w:tcPr>
          <w:p>
            <w:pPr>
              <w:spacing w:after="0" w:line="260" w:lineRule="exact"/>
              <w:contextualSpacing/>
              <w:jc w:val="center"/>
              <w:rPr>
                <w:rFonts w:ascii="黑体" w:hAnsi="黑体" w:eastAsia="黑体" w:cs="黑体"/>
                <w:bCs/>
                <w:sz w:val="24"/>
                <w:szCs w:val="24"/>
              </w:rPr>
            </w:pPr>
            <w:r>
              <w:rPr>
                <w:rFonts w:hint="eastAsia" w:ascii="黑体" w:hAnsi="黑体" w:eastAsia="黑体" w:cs="黑体"/>
                <w:bCs/>
                <w:sz w:val="24"/>
                <w:szCs w:val="24"/>
              </w:rPr>
              <w:t>创新</w:t>
            </w:r>
            <w:r>
              <w:rPr>
                <w:rFonts w:ascii="黑体" w:hAnsi="黑体" w:eastAsia="黑体" w:cs="黑体"/>
                <w:bCs/>
                <w:sz w:val="24"/>
                <w:szCs w:val="24"/>
              </w:rPr>
              <w:t>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发展潜力</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扶持资金</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截至报告期末，基地是否设立专项电子商务扶持资金并积极落实。</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资金设置相关文件，资金使用去向证明、资金申请材料等。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规划发展</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1.截至报告期末，基地是否根据自身情况编制合理的发展规划，科学指导基地建设与未来发展。</w:t>
            </w:r>
          </w:p>
          <w:p>
            <w:pPr>
              <w:spacing w:after="0" w:line="260" w:lineRule="exact"/>
              <w:contextualSpacing/>
              <w:rPr>
                <w:rFonts w:asciiTheme="minorEastAsia" w:hAnsiTheme="minorEastAsia"/>
                <w:sz w:val="20"/>
                <w:szCs w:val="20"/>
              </w:rPr>
            </w:pPr>
            <w:r>
              <w:rPr>
                <w:rFonts w:asciiTheme="minorEastAsia" w:hAnsiTheme="minorEastAsia"/>
                <w:sz w:val="20"/>
                <w:szCs w:val="20"/>
              </w:rPr>
              <w:t>2.不应以基地所在城市或区域的规划代替基地规划。</w:t>
            </w:r>
          </w:p>
          <w:p>
            <w:pPr>
              <w:spacing w:after="0" w:line="260" w:lineRule="exact"/>
              <w:contextualSpacing/>
              <w:rPr>
                <w:rFonts w:asciiTheme="minorEastAsia" w:hAnsiTheme="minorEastAsia"/>
                <w:sz w:val="20"/>
                <w:szCs w:val="20"/>
              </w:rPr>
            </w:pPr>
            <w:r>
              <w:rPr>
                <w:rFonts w:asciiTheme="minorEastAsia" w:hAnsiTheme="minorEastAsia"/>
                <w:sz w:val="20"/>
                <w:szCs w:val="20"/>
              </w:rPr>
              <w:t>3.电商领域专业规划而非其他。</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规划文件、实施方案、行动计划、可行性研究报告等。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产学研合作</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截至报告期末，基地是否与大专院校、研究机构建立合作机制，开展电子商务研究，应用新技术、开发新产品。</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创新应用</w:t>
            </w: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技术模式创新</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鼓励措施</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截至报告期末，是否制定激励基地内电商企业、数商企业在</w:t>
            </w:r>
            <w:r>
              <w:rPr>
                <w:rFonts w:asciiTheme="minorEastAsia" w:hAnsiTheme="minorEastAsia"/>
                <w:sz w:val="20"/>
                <w:szCs w:val="20"/>
              </w:rPr>
              <w:t>5G、</w:t>
            </w:r>
            <w:r>
              <w:rPr>
                <w:rFonts w:hint="eastAsia" w:asciiTheme="minorEastAsia" w:hAnsiTheme="minorEastAsia"/>
                <w:sz w:val="20"/>
                <w:szCs w:val="20"/>
              </w:rPr>
              <w:t>大数据、物联网、云计算、人工智能、区块链、虚拟现实</w:t>
            </w:r>
            <w:r>
              <w:rPr>
                <w:rFonts w:asciiTheme="minorEastAsia" w:hAnsiTheme="minorEastAsia"/>
                <w:sz w:val="20"/>
                <w:szCs w:val="20"/>
              </w:rPr>
              <w:t>/增强现实</w:t>
            </w:r>
            <w:r>
              <w:rPr>
                <w:rFonts w:hint="eastAsia" w:asciiTheme="minorEastAsia" w:hAnsiTheme="minorEastAsia"/>
                <w:sz w:val="20"/>
                <w:szCs w:val="20"/>
              </w:rPr>
              <w:t>等先进信息技术领域及商业模式方面开展创新应用的措施。</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相关措施政策文件、具体做法及取得成效，可以提供具体案例。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技术模式创新</w:t>
            </w:r>
          </w:p>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应用成果</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个</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截至报告期末，基地内以自有技术或</w:t>
            </w:r>
            <w:r>
              <w:rPr>
                <w:rFonts w:asciiTheme="minorEastAsia" w:hAnsiTheme="minorEastAsia"/>
                <w:sz w:val="20"/>
                <w:szCs w:val="20"/>
              </w:rPr>
              <w:t>商业模式</w:t>
            </w:r>
            <w:r>
              <w:rPr>
                <w:rFonts w:hint="eastAsia" w:asciiTheme="minorEastAsia" w:hAnsiTheme="minorEastAsia"/>
                <w:sz w:val="20"/>
                <w:szCs w:val="20"/>
              </w:rPr>
              <w:t>创新作为核心竞争力，并取得明显成效的电子商务企业数量。</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技术或</w:t>
            </w:r>
            <w:r>
              <w:rPr>
                <w:rFonts w:asciiTheme="minorEastAsia" w:hAnsiTheme="minorEastAsia"/>
                <w:sz w:val="20"/>
                <w:szCs w:val="20"/>
              </w:rPr>
              <w:t>模式</w:t>
            </w:r>
            <w:r>
              <w:rPr>
                <w:rFonts w:hint="eastAsia" w:asciiTheme="minorEastAsia" w:hAnsiTheme="minorEastAsia"/>
                <w:sz w:val="20"/>
                <w:szCs w:val="20"/>
              </w:rPr>
              <w:t>创新电商企业名单，可以提供具体案例。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新消费品牌培育</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基地是否引导企业应用大数据技术，发展</w:t>
            </w:r>
            <w:r>
              <w:rPr>
                <w:rFonts w:asciiTheme="minorEastAsia" w:hAnsiTheme="minorEastAsia"/>
                <w:sz w:val="20"/>
                <w:szCs w:val="20"/>
              </w:rPr>
              <w:t>C2M模式，培育和推广“国潮精品”，促进“小而美”新消费品牌成长、国产优秀品牌网络销售</w:t>
            </w:r>
            <w:r>
              <w:rPr>
                <w:rFonts w:hint="eastAsia" w:asciiTheme="minorEastAsia" w:hAnsiTheme="minorEastAsia"/>
                <w:sz w:val="20"/>
                <w:szCs w:val="20"/>
              </w:rPr>
              <w:t>。</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1979"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电商直播</w:t>
            </w:r>
            <w:r>
              <w:rPr>
                <w:rFonts w:asciiTheme="minorEastAsia" w:hAnsiTheme="minorEastAsia"/>
                <w:sz w:val="20"/>
                <w:szCs w:val="20"/>
              </w:rPr>
              <w:t>基地</w:t>
            </w:r>
          </w:p>
        </w:tc>
        <w:tc>
          <w:tcPr>
            <w:tcW w:w="851" w:type="dxa"/>
            <w:vAlign w:val="center"/>
          </w:tcPr>
          <w:p>
            <w:pPr>
              <w:spacing w:after="0" w:line="260" w:lineRule="exact"/>
              <w:contextualSpacing/>
              <w:jc w:val="center"/>
              <w:rPr>
                <w:rFonts w:asciiTheme="minorEastAsia" w:hAnsiTheme="minorEastAsia"/>
                <w:sz w:val="20"/>
                <w:szCs w:val="20"/>
              </w:rPr>
            </w:pPr>
            <w:r>
              <w:rPr>
                <w:rFonts w:hint="eastAsia" w:asciiTheme="minorEastAsia" w:hAnsiTheme="minorEastAsia"/>
                <w:sz w:val="20"/>
                <w:szCs w:val="20"/>
              </w:rPr>
              <w:t>是</w:t>
            </w:r>
            <w:r>
              <w:rPr>
                <w:rFonts w:asciiTheme="minorEastAsia" w:hAnsiTheme="minorEastAsia"/>
                <w:sz w:val="20"/>
                <w:szCs w:val="20"/>
              </w:rPr>
              <w:t>/否</w:t>
            </w:r>
          </w:p>
        </w:tc>
        <w:tc>
          <w:tcPr>
            <w:tcW w:w="5528"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基地是否建设电商直播基地；开展直播带货场次</w:t>
            </w:r>
            <w:r>
              <w:rPr>
                <w:rFonts w:asciiTheme="minorEastAsia" w:hAnsiTheme="minorEastAsia"/>
                <w:sz w:val="20"/>
                <w:szCs w:val="20"/>
              </w:rPr>
              <w:t>、</w:t>
            </w:r>
            <w:r>
              <w:rPr>
                <w:rFonts w:hint="eastAsia" w:asciiTheme="minorEastAsia" w:hAnsiTheme="minorEastAsia"/>
                <w:sz w:val="20"/>
                <w:szCs w:val="20"/>
              </w:rPr>
              <w:t>交易额、涉农</w:t>
            </w:r>
            <w:r>
              <w:rPr>
                <w:rFonts w:asciiTheme="minorEastAsia" w:hAnsiTheme="minorEastAsia"/>
                <w:sz w:val="20"/>
                <w:szCs w:val="20"/>
              </w:rPr>
              <w:t>直播场次、</w:t>
            </w:r>
            <w:r>
              <w:rPr>
                <w:rFonts w:hint="eastAsia" w:asciiTheme="minorEastAsia" w:hAnsiTheme="minorEastAsia"/>
                <w:sz w:val="20"/>
                <w:szCs w:val="20"/>
              </w:rPr>
              <w:t>农副产品交易额。</w:t>
            </w:r>
          </w:p>
        </w:tc>
        <w:tc>
          <w:tcPr>
            <w:tcW w:w="3544"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提供基地组织企业开展直播</w:t>
            </w:r>
            <w:r>
              <w:rPr>
                <w:rFonts w:asciiTheme="minorEastAsia" w:hAnsiTheme="minorEastAsia"/>
                <w:sz w:val="20"/>
                <w:szCs w:val="20"/>
              </w:rPr>
              <w:t>带货</w:t>
            </w:r>
            <w:r>
              <w:rPr>
                <w:rFonts w:hint="eastAsia" w:asciiTheme="minorEastAsia" w:hAnsiTheme="minorEastAsia"/>
                <w:sz w:val="20"/>
                <w:szCs w:val="20"/>
              </w:rPr>
              <w:t>的相关文件、通知要求，参加企业名单、成交额构成明细及相关报道等。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rFonts w:asciiTheme="majorEastAsia" w:hAnsiTheme="majorEastAsia" w:eastAsiaTheme="majorEastAsia" w:cstheme="majorEastAsia"/>
              </w:rPr>
            </w:pPr>
          </w:p>
        </w:tc>
        <w:tc>
          <w:tcPr>
            <w:tcW w:w="709" w:type="dxa"/>
            <w:vMerge w:val="restart"/>
            <w:vAlign w:val="center"/>
          </w:tcPr>
          <w:p>
            <w:pPr>
              <w:spacing w:after="0" w:line="260" w:lineRule="exact"/>
              <w:contextualSpacing/>
              <w:jc w:val="center"/>
              <w:rPr>
                <w:rFonts w:ascii="华文楷体" w:hAnsi="华文楷体" w:eastAsia="华文楷体" w:cs="华文楷体"/>
                <w:sz w:val="24"/>
                <w:szCs w:val="24"/>
              </w:rPr>
            </w:pPr>
            <w:r>
              <w:rPr>
                <w:rFonts w:hint="eastAsia" w:ascii="楷体" w:hAnsi="楷体" w:eastAsia="楷体"/>
                <w:sz w:val="24"/>
                <w:szCs w:val="24"/>
              </w:rPr>
              <w:t>行业规范</w:t>
            </w: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电子商务</w:t>
            </w:r>
          </w:p>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行业标准数</w:t>
            </w:r>
          </w:p>
        </w:tc>
        <w:tc>
          <w:tcPr>
            <w:tcW w:w="851" w:type="dxa"/>
            <w:vAlign w:val="center"/>
          </w:tcPr>
          <w:p>
            <w:pPr>
              <w:spacing w:after="0" w:line="260" w:lineRule="exact"/>
              <w:ind w:firstLine="100" w:firstLineChars="50"/>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个</w:t>
            </w:r>
          </w:p>
        </w:tc>
        <w:tc>
          <w:tcPr>
            <w:tcW w:w="5528" w:type="dxa"/>
            <w:vAlign w:val="center"/>
          </w:tcPr>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1.截至报告期末，基地制定和实施的电子商务行业标准与规范数量之和。</w:t>
            </w:r>
          </w:p>
          <w:p>
            <w:pPr>
              <w:spacing w:after="0" w:line="260" w:lineRule="exact"/>
              <w:contextualSpacing/>
              <w:rPr>
                <w:rFonts w:asciiTheme="minorEastAsia" w:hAnsiTheme="minorEastAsia" w:cstheme="majorEastAsia"/>
                <w:sz w:val="20"/>
                <w:szCs w:val="20"/>
              </w:rPr>
            </w:pPr>
            <w:r>
              <w:rPr>
                <w:rFonts w:asciiTheme="minorEastAsia" w:hAnsiTheme="minorEastAsia" w:cstheme="majorEastAsia"/>
                <w:sz w:val="20"/>
                <w:szCs w:val="20"/>
              </w:rPr>
              <w:t>2.与电子商务行业相关，而非其他行业领域。</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标准与规范文件名称及内容，应注明已发布实施或起草制定阶段。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9" w:type="dxa"/>
            <w:vMerge w:val="continue"/>
            <w:vAlign w:val="center"/>
          </w:tcPr>
          <w:p>
            <w:pPr>
              <w:spacing w:after="0" w:line="260" w:lineRule="exact"/>
              <w:contextualSpacing/>
              <w:jc w:val="center"/>
              <w:rPr>
                <w:rFonts w:asciiTheme="majorEastAsia" w:hAnsiTheme="majorEastAsia" w:eastAsiaTheme="majorEastAsia" w:cstheme="majorEastAsia"/>
              </w:rPr>
            </w:pPr>
          </w:p>
        </w:tc>
        <w:tc>
          <w:tcPr>
            <w:tcW w:w="709" w:type="dxa"/>
            <w:vMerge w:val="continue"/>
            <w:vAlign w:val="center"/>
          </w:tcPr>
          <w:p>
            <w:pPr>
              <w:spacing w:after="0" w:line="260" w:lineRule="exact"/>
              <w:contextualSpacing/>
              <w:jc w:val="center"/>
              <w:rPr>
                <w:rFonts w:asciiTheme="majorEastAsia" w:hAnsiTheme="majorEastAsia" w:eastAsiaTheme="majorEastAsia" w:cstheme="majorEastAsia"/>
              </w:rPr>
            </w:pPr>
          </w:p>
        </w:tc>
        <w:tc>
          <w:tcPr>
            <w:tcW w:w="1979"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信用体系</w:t>
            </w:r>
            <w:r>
              <w:rPr>
                <w:rFonts w:asciiTheme="minorEastAsia" w:hAnsiTheme="minorEastAsia" w:cstheme="majorEastAsia"/>
                <w:sz w:val="20"/>
                <w:szCs w:val="20"/>
              </w:rPr>
              <w:t>建设</w:t>
            </w:r>
          </w:p>
        </w:tc>
        <w:tc>
          <w:tcPr>
            <w:tcW w:w="851" w:type="dxa"/>
            <w:vAlign w:val="center"/>
          </w:tcPr>
          <w:p>
            <w:pPr>
              <w:spacing w:after="0" w:line="260" w:lineRule="exact"/>
              <w:contextualSpacing/>
              <w:jc w:val="center"/>
              <w:rPr>
                <w:rFonts w:asciiTheme="minorEastAsia" w:hAnsiTheme="minorEastAsia" w:cstheme="majorEastAsia"/>
                <w:sz w:val="20"/>
                <w:szCs w:val="20"/>
              </w:rPr>
            </w:pPr>
            <w:r>
              <w:rPr>
                <w:rFonts w:hint="eastAsia" w:asciiTheme="minorEastAsia" w:hAnsiTheme="minorEastAsia" w:cstheme="majorEastAsia"/>
                <w:sz w:val="20"/>
                <w:szCs w:val="20"/>
              </w:rPr>
              <w:t>是</w:t>
            </w:r>
            <w:r>
              <w:rPr>
                <w:rFonts w:asciiTheme="minorEastAsia" w:hAnsiTheme="minorEastAsia" w:cstheme="majorEastAsia"/>
                <w:sz w:val="20"/>
                <w:szCs w:val="20"/>
              </w:rPr>
              <w:t>/否</w:t>
            </w:r>
          </w:p>
        </w:tc>
        <w:tc>
          <w:tcPr>
            <w:tcW w:w="5528"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截至报告期末，基地是否开展或合作开展电子商务信用体系建设工作。</w:t>
            </w:r>
          </w:p>
        </w:tc>
        <w:tc>
          <w:tcPr>
            <w:tcW w:w="3544" w:type="dxa"/>
            <w:vAlign w:val="center"/>
          </w:tcPr>
          <w:p>
            <w:pPr>
              <w:spacing w:after="0" w:line="260" w:lineRule="exact"/>
              <w:contextualSpacing/>
              <w:rPr>
                <w:rFonts w:asciiTheme="minorEastAsia" w:hAnsiTheme="minorEastAsia" w:cstheme="majorEastAsia"/>
                <w:sz w:val="20"/>
                <w:szCs w:val="20"/>
              </w:rPr>
            </w:pPr>
            <w:r>
              <w:rPr>
                <w:rFonts w:hint="eastAsia" w:asciiTheme="minorEastAsia" w:hAnsiTheme="minorEastAsia" w:cstheme="majorEastAsia"/>
                <w:sz w:val="20"/>
                <w:szCs w:val="20"/>
              </w:rPr>
              <w:t>信用体系建设相关标准、办法、</w:t>
            </w:r>
            <w:r>
              <w:rPr>
                <w:rFonts w:asciiTheme="minorEastAsia" w:hAnsiTheme="minorEastAsia" w:cstheme="majorEastAsia"/>
                <w:sz w:val="20"/>
                <w:szCs w:val="20"/>
              </w:rPr>
              <w:t>进展</w:t>
            </w:r>
            <w:r>
              <w:rPr>
                <w:rFonts w:hint="eastAsia" w:asciiTheme="minorEastAsia" w:hAnsiTheme="minorEastAsia" w:cstheme="majorEastAsia"/>
                <w:sz w:val="20"/>
                <w:szCs w:val="20"/>
              </w:rPr>
              <w:t>及</w:t>
            </w:r>
            <w:r>
              <w:rPr>
                <w:rFonts w:asciiTheme="minorEastAsia" w:hAnsiTheme="minorEastAsia" w:cstheme="majorEastAsia"/>
                <w:sz w:val="20"/>
                <w:szCs w:val="20"/>
              </w:rPr>
              <w:t>成效</w:t>
            </w:r>
            <w:r>
              <w:rPr>
                <w:rFonts w:hint="eastAsia" w:asciiTheme="minorEastAsia" w:hAnsiTheme="minorEastAsia" w:cstheme="majorEastAsia"/>
                <w:sz w:val="20"/>
                <w:szCs w:val="20"/>
              </w:rPr>
              <w:t>等。</w:t>
            </w:r>
          </w:p>
        </w:tc>
      </w:tr>
    </w:tbl>
    <w:p>
      <w:pPr>
        <w:spacing w:after="0" w:line="260" w:lineRule="exact"/>
        <w:rPr>
          <w:rFonts w:asciiTheme="majorEastAsia" w:hAnsiTheme="majorEastAsia" w:eastAsiaTheme="majorEastAsia" w:cstheme="majorEastAsia"/>
        </w:rPr>
      </w:pPr>
    </w:p>
    <w:p>
      <w:pPr>
        <w:autoSpaceDE w:val="0"/>
        <w:autoSpaceDN w:val="0"/>
        <w:adjustRightInd w:val="0"/>
        <w:ind w:firstLine="640" w:firstLineChars="200"/>
        <w:rPr>
          <w:rFonts w:ascii="仿宋_GB2312" w:hAnsi="Times New Roman" w:eastAsia="仿宋_GB2312" w:cs="仿宋_GB2312"/>
          <w:sz w:val="32"/>
          <w:szCs w:val="32"/>
        </w:rPr>
        <w:sectPr>
          <w:pgSz w:w="16838" w:h="11906" w:orient="landscape"/>
          <w:pgMar w:top="1560" w:right="1440" w:bottom="1560" w:left="1318" w:header="851" w:footer="992" w:gutter="0"/>
          <w:cols w:space="425" w:num="1"/>
          <w:docGrid w:type="lines" w:linePitch="312" w:charSpace="0"/>
        </w:sectPr>
      </w:pPr>
    </w:p>
    <w:p>
      <w:pPr>
        <w:spacing w:after="0" w:line="240" w:lineRule="auto"/>
        <w:jc w:val="both"/>
        <w:rPr>
          <w:rFonts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after="0" w:line="240" w:lineRule="auto"/>
        <w:jc w:val="both"/>
        <w:rPr>
          <w:rFonts w:ascii="黑体" w:hAnsi="Times New Roman" w:eastAsia="黑体" w:cs="Times New Roman"/>
          <w:szCs w:val="24"/>
        </w:rPr>
      </w:pPr>
    </w:p>
    <w:p>
      <w:pPr>
        <w:spacing w:after="0" w:line="240" w:lineRule="auto"/>
        <w:jc w:val="center"/>
        <w:rPr>
          <w:rFonts w:ascii="宋体" w:hAnsi="宋体" w:eastAsia="宋体" w:cs="Times New Roman"/>
          <w:b/>
          <w:kern w:val="44"/>
          <w:sz w:val="36"/>
          <w:szCs w:val="36"/>
        </w:rPr>
      </w:pPr>
      <w:r>
        <w:rPr>
          <w:rFonts w:hint="eastAsia" w:ascii="宋体" w:hAnsi="宋体" w:eastAsia="宋体" w:cs="Times New Roman"/>
          <w:b/>
          <w:kern w:val="44"/>
          <w:sz w:val="36"/>
          <w:szCs w:val="36"/>
        </w:rPr>
        <w:t>国家电子商务示范基地和其他电子商务产业基地</w:t>
      </w:r>
    </w:p>
    <w:p>
      <w:pPr>
        <w:spacing w:after="0" w:line="240" w:lineRule="auto"/>
        <w:jc w:val="center"/>
        <w:rPr>
          <w:rFonts w:ascii="黑体" w:hAnsi="Times New Roman" w:eastAsia="黑体" w:cs="Times New Roman"/>
          <w:b/>
          <w:sz w:val="36"/>
          <w:szCs w:val="36"/>
        </w:rPr>
      </w:pPr>
      <w:r>
        <w:rPr>
          <w:rFonts w:hint="eastAsia" w:ascii="宋体" w:hAnsi="宋体" w:eastAsia="宋体" w:cs="Times New Roman"/>
          <w:b/>
          <w:kern w:val="44"/>
          <w:sz w:val="36"/>
          <w:szCs w:val="36"/>
        </w:rPr>
        <w:t>自评报告编制说明</w:t>
      </w:r>
    </w:p>
    <w:p>
      <w:pPr>
        <w:spacing w:after="0" w:line="240" w:lineRule="auto"/>
        <w:jc w:val="both"/>
        <w:rPr>
          <w:rFonts w:ascii="Times New Roman" w:hAnsi="Times New Roman" w:eastAsia="宋体" w:cs="Times New Roman"/>
          <w:szCs w:val="24"/>
        </w:rPr>
      </w:pPr>
    </w:p>
    <w:p>
      <w:pPr>
        <w:autoSpaceDE w:val="0"/>
        <w:autoSpaceDN w:val="0"/>
        <w:adjustRightInd w:val="0"/>
        <w:spacing w:after="0" w:line="240" w:lineRule="auto"/>
        <w:ind w:firstLine="640" w:firstLineChars="200"/>
        <w:jc w:val="both"/>
        <w:rPr>
          <w:rFonts w:ascii="黑体" w:hAnsi="Times New Roman" w:eastAsia="黑体" w:cs="黑体"/>
          <w:sz w:val="32"/>
          <w:szCs w:val="32"/>
        </w:rPr>
      </w:pPr>
      <w:r>
        <w:rPr>
          <w:rFonts w:hint="eastAsia" w:ascii="黑体" w:hAnsi="Times New Roman" w:eastAsia="黑体" w:cs="黑体"/>
          <w:sz w:val="32"/>
          <w:szCs w:val="32"/>
        </w:rPr>
        <w:t>一、编制要点</w:t>
      </w:r>
    </w:p>
    <w:p>
      <w:pPr>
        <w:autoSpaceDE w:val="0"/>
        <w:autoSpaceDN w:val="0"/>
        <w:adjustRightInd w:val="0"/>
        <w:spacing w:after="0" w:line="240" w:lineRule="auto"/>
        <w:ind w:firstLine="643" w:firstLineChars="200"/>
        <w:jc w:val="both"/>
        <w:rPr>
          <w:rFonts w:ascii="黑体" w:hAnsi="Times New Roman" w:eastAsia="黑体" w:cs="黑体"/>
          <w:sz w:val="32"/>
          <w:szCs w:val="32"/>
        </w:rPr>
      </w:pPr>
      <w:r>
        <w:rPr>
          <w:rFonts w:hint="eastAsia" w:ascii="楷体_GB2312" w:hAnsi="楷体" w:eastAsia="楷体_GB2312" w:cs="黑体"/>
          <w:b/>
          <w:sz w:val="32"/>
          <w:szCs w:val="32"/>
        </w:rPr>
        <w:t>（一）承载能力建设情况。</w:t>
      </w:r>
      <w:r>
        <w:rPr>
          <w:rFonts w:hint="eastAsia" w:ascii="仿宋_GB2312" w:hAnsi="Times New Roman" w:eastAsia="仿宋_GB2312" w:cs="仿宋_GB2312"/>
          <w:sz w:val="32"/>
          <w:szCs w:val="32"/>
        </w:rPr>
        <w:t>基地在基础硬件、功能布局、相关配套及电商</w:t>
      </w:r>
      <w:r>
        <w:rPr>
          <w:rFonts w:ascii="仿宋_GB2312" w:hAnsi="Times New Roman" w:eastAsia="仿宋_GB2312" w:cs="仿宋_GB2312"/>
          <w:sz w:val="32"/>
          <w:szCs w:val="32"/>
        </w:rPr>
        <w:t>产业</w:t>
      </w:r>
      <w:r>
        <w:rPr>
          <w:rFonts w:hint="eastAsia" w:ascii="仿宋_GB2312" w:hAnsi="Times New Roman" w:eastAsia="仿宋_GB2312" w:cs="仿宋_GB2312"/>
          <w:sz w:val="32"/>
          <w:szCs w:val="32"/>
        </w:rPr>
        <w:t>生态等方面的建设与完善情况。对于城市、市辖区、经济开发区、高新区等电商企业较为分散的基地，须指定1个电商企业相对集中的特定区域作为参评对象。</w:t>
      </w:r>
    </w:p>
    <w:p>
      <w:pPr>
        <w:autoSpaceDE w:val="0"/>
        <w:autoSpaceDN w:val="0"/>
        <w:adjustRightInd w:val="0"/>
        <w:spacing w:after="0" w:line="240" w:lineRule="auto"/>
        <w:ind w:firstLine="643" w:firstLineChars="200"/>
        <w:jc w:val="both"/>
        <w:rPr>
          <w:rFonts w:ascii="仿宋_GB2312" w:hAnsi="Times New Roman" w:eastAsia="仿宋_GB2312" w:cs="仿宋_GB2312"/>
          <w:sz w:val="32"/>
          <w:szCs w:val="32"/>
        </w:rPr>
      </w:pPr>
      <w:r>
        <w:rPr>
          <w:rFonts w:hint="eastAsia" w:ascii="楷体_GB2312" w:hAnsi="楷体" w:eastAsia="楷体_GB2312" w:cs="黑体"/>
          <w:b/>
          <w:sz w:val="32"/>
          <w:szCs w:val="32"/>
        </w:rPr>
        <w:t>（二）服务能力建设情况。</w:t>
      </w:r>
      <w:r>
        <w:rPr>
          <w:rFonts w:hint="eastAsia" w:ascii="仿宋_GB2312" w:hAnsi="Times New Roman" w:eastAsia="仿宋_GB2312" w:cs="仿宋_GB2312"/>
          <w:sz w:val="32"/>
          <w:szCs w:val="32"/>
        </w:rPr>
        <w:t>基地面向入驻企业提供电子商务金融服务、人才服务、孵化服务及其他公共服务情况，包括但不限于出台的政策措施、服务类型、主要做法与进展、服务规模数量、作用与效果等。</w:t>
      </w:r>
    </w:p>
    <w:p>
      <w:pPr>
        <w:autoSpaceDE w:val="0"/>
        <w:autoSpaceDN w:val="0"/>
        <w:adjustRightInd w:val="0"/>
        <w:spacing w:after="0" w:line="240" w:lineRule="auto"/>
        <w:ind w:firstLine="643" w:firstLineChars="200"/>
        <w:jc w:val="both"/>
        <w:rPr>
          <w:rFonts w:ascii="黑体" w:hAnsi="Times New Roman" w:eastAsia="黑体" w:cs="黑体"/>
          <w:sz w:val="32"/>
          <w:szCs w:val="32"/>
        </w:rPr>
      </w:pPr>
      <w:r>
        <w:rPr>
          <w:rFonts w:hint="eastAsia" w:ascii="楷体_GB2312" w:hAnsi="楷体" w:eastAsia="楷体_GB2312" w:cs="黑体"/>
          <w:b/>
          <w:sz w:val="32"/>
          <w:szCs w:val="32"/>
        </w:rPr>
        <w:t>（三）保障</w:t>
      </w:r>
      <w:r>
        <w:rPr>
          <w:rFonts w:ascii="楷体_GB2312" w:hAnsi="楷体" w:eastAsia="楷体_GB2312" w:cs="黑体"/>
          <w:b/>
          <w:sz w:val="32"/>
          <w:szCs w:val="32"/>
        </w:rPr>
        <w:t>能力建设情况。</w:t>
      </w:r>
      <w:r>
        <w:rPr>
          <w:rFonts w:hint="eastAsia" w:ascii="仿宋_GB2312" w:hAnsi="Times New Roman" w:eastAsia="仿宋_GB2312" w:cs="仿宋_GB2312"/>
          <w:sz w:val="32"/>
          <w:szCs w:val="32"/>
        </w:rPr>
        <w:t>基地在组织领导、党</w:t>
      </w:r>
      <w:r>
        <w:rPr>
          <w:rFonts w:hint="eastAsia" w:ascii="仿宋_GB2312" w:hAnsi="Times New Roman" w:eastAsia="仿宋_GB2312" w:cs="仿宋_GB2312"/>
          <w:sz w:val="32"/>
          <w:szCs w:val="32"/>
          <w:lang w:eastAsia="zh-CN"/>
        </w:rPr>
        <w:t>的</w:t>
      </w:r>
      <w:r>
        <w:rPr>
          <w:rFonts w:hint="eastAsia" w:ascii="仿宋_GB2312" w:hAnsi="Times New Roman" w:eastAsia="仿宋_GB2312" w:cs="仿宋_GB2312"/>
          <w:sz w:val="32"/>
          <w:szCs w:val="32"/>
        </w:rPr>
        <w:t>建设、环境营造</w:t>
      </w:r>
      <w:r>
        <w:rPr>
          <w:rFonts w:ascii="仿宋_GB2312" w:hAnsi="Times New Roman" w:eastAsia="仿宋_GB2312" w:cs="仿宋_GB2312"/>
          <w:sz w:val="32"/>
          <w:szCs w:val="32"/>
        </w:rPr>
        <w:t>、绿色发展、安全生产</w:t>
      </w:r>
      <w:r>
        <w:rPr>
          <w:rFonts w:hint="eastAsia" w:ascii="仿宋_GB2312" w:hAnsi="Times New Roman" w:eastAsia="仿宋_GB2312" w:cs="仿宋_GB2312"/>
          <w:sz w:val="32"/>
          <w:szCs w:val="32"/>
        </w:rPr>
        <w:t xml:space="preserve">等方面的工作推进情况及取得主要成效等。 </w:t>
      </w:r>
    </w:p>
    <w:p>
      <w:pPr>
        <w:autoSpaceDE w:val="0"/>
        <w:autoSpaceDN w:val="0"/>
        <w:adjustRightInd w:val="0"/>
        <w:spacing w:after="0" w:line="240" w:lineRule="auto"/>
        <w:ind w:firstLine="643" w:firstLineChars="200"/>
        <w:jc w:val="both"/>
        <w:rPr>
          <w:rFonts w:ascii="仿宋_GB2312" w:hAnsi="Times New Roman" w:eastAsia="仿宋_GB2312" w:cs="仿宋_GB2312"/>
          <w:sz w:val="32"/>
          <w:szCs w:val="32"/>
        </w:rPr>
      </w:pPr>
      <w:r>
        <w:rPr>
          <w:rFonts w:hint="eastAsia" w:ascii="楷体_GB2312" w:hAnsi="楷体" w:eastAsia="楷体_GB2312" w:cs="黑体"/>
          <w:b/>
          <w:sz w:val="32"/>
          <w:szCs w:val="32"/>
        </w:rPr>
        <w:t>（四）示范</w:t>
      </w:r>
      <w:r>
        <w:rPr>
          <w:rFonts w:ascii="楷体_GB2312" w:hAnsi="楷体" w:eastAsia="楷体_GB2312" w:cs="黑体"/>
          <w:b/>
          <w:sz w:val="32"/>
          <w:szCs w:val="32"/>
        </w:rPr>
        <w:t>能力建设情况。</w:t>
      </w:r>
      <w:r>
        <w:rPr>
          <w:rFonts w:hint="eastAsia" w:ascii="仿宋_GB2312" w:hAnsi="Times New Roman" w:eastAsia="仿宋_GB2312" w:cs="仿宋_GB2312"/>
          <w:sz w:val="32"/>
          <w:szCs w:val="32"/>
        </w:rPr>
        <w:t>基地电子商务交易规模、营收规模、税收规模、从业人员规模及其同比变化情况，在促进就业创业、</w:t>
      </w:r>
      <w:r>
        <w:rPr>
          <w:rFonts w:hint="eastAsia" w:ascii="仿宋_GB2312" w:hAnsi="Times New Roman" w:eastAsia="仿宋_GB2312" w:cs="仿宋_GB2312"/>
          <w:sz w:val="32"/>
          <w:szCs w:val="32"/>
          <w:lang w:eastAsia="zh-CN"/>
        </w:rPr>
        <w:t>乡村振兴</w:t>
      </w:r>
      <w:r>
        <w:rPr>
          <w:rFonts w:hint="eastAsia" w:ascii="仿宋_GB2312" w:hAnsi="Times New Roman" w:eastAsia="仿宋_GB2312" w:cs="仿宋_GB2312"/>
          <w:sz w:val="32"/>
          <w:szCs w:val="32"/>
        </w:rPr>
        <w:t>、品牌创建、消费</w:t>
      </w:r>
      <w:r>
        <w:rPr>
          <w:rFonts w:hint="eastAsia" w:ascii="仿宋_GB2312" w:hAnsi="Times New Roman" w:eastAsia="仿宋_GB2312" w:cs="仿宋_GB2312"/>
          <w:sz w:val="32"/>
          <w:szCs w:val="32"/>
          <w:lang w:eastAsia="zh-CN"/>
        </w:rPr>
        <w:t>提振</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数字化转型</w:t>
      </w:r>
      <w:r>
        <w:rPr>
          <w:rFonts w:hint="eastAsia" w:ascii="仿宋_GB2312" w:hAnsi="Times New Roman" w:eastAsia="仿宋_GB2312" w:cs="仿宋_GB2312"/>
          <w:sz w:val="32"/>
          <w:szCs w:val="32"/>
        </w:rPr>
        <w:t>以及拓展国内外市场等方面所发挥的作用。</w:t>
      </w:r>
    </w:p>
    <w:p>
      <w:pPr>
        <w:autoSpaceDE w:val="0"/>
        <w:autoSpaceDN w:val="0"/>
        <w:adjustRightInd w:val="0"/>
        <w:spacing w:after="0" w:line="240" w:lineRule="auto"/>
        <w:ind w:firstLine="643" w:firstLineChars="200"/>
        <w:jc w:val="both"/>
        <w:rPr>
          <w:rFonts w:ascii="仿宋_GB2312" w:hAnsi="Times New Roman" w:eastAsia="仿宋_GB2312" w:cs="仿宋_GB2312"/>
          <w:sz w:val="32"/>
          <w:szCs w:val="32"/>
        </w:rPr>
      </w:pPr>
      <w:r>
        <w:rPr>
          <w:rFonts w:hint="eastAsia" w:ascii="楷体_GB2312" w:hAnsi="楷体" w:eastAsia="楷体_GB2312" w:cs="黑体"/>
          <w:b/>
          <w:sz w:val="32"/>
          <w:szCs w:val="32"/>
        </w:rPr>
        <w:t>（五）创新能力建设情况。</w:t>
      </w:r>
      <w:r>
        <w:rPr>
          <w:rFonts w:hint="eastAsia" w:ascii="仿宋_GB2312" w:hAnsi="Times New Roman" w:eastAsia="仿宋_GB2312" w:cs="仿宋_GB2312"/>
          <w:sz w:val="32"/>
          <w:szCs w:val="32"/>
        </w:rPr>
        <w:t>基地在规划发展、资金扶持、产学研合作方面的推进及落实情况；在商务领域新技术应用、模式业态创新等方面的进展情况；在</w:t>
      </w:r>
      <w:r>
        <w:rPr>
          <w:rFonts w:ascii="仿宋_GB2312" w:hAnsi="Times New Roman" w:eastAsia="仿宋_GB2312" w:cs="仿宋_GB2312"/>
          <w:sz w:val="32"/>
          <w:szCs w:val="32"/>
        </w:rPr>
        <w:t>探索基地建设运营体制机制创新方面</w:t>
      </w:r>
      <w:r>
        <w:rPr>
          <w:rFonts w:hint="eastAsia" w:ascii="仿宋_GB2312" w:hAnsi="Times New Roman" w:eastAsia="仿宋_GB2312" w:cs="仿宋_GB2312"/>
          <w:sz w:val="32"/>
          <w:szCs w:val="32"/>
        </w:rPr>
        <w:t>的工作进展</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推动电子商务行业标准和信用体系建设进展情况。</w:t>
      </w:r>
    </w:p>
    <w:p>
      <w:pPr>
        <w:autoSpaceDE w:val="0"/>
        <w:autoSpaceDN w:val="0"/>
        <w:adjustRightInd w:val="0"/>
        <w:spacing w:after="0" w:line="240" w:lineRule="auto"/>
        <w:ind w:firstLine="643" w:firstLineChars="200"/>
        <w:jc w:val="both"/>
        <w:rPr>
          <w:rFonts w:ascii="仿宋_GB2312" w:hAnsi="Times New Roman" w:eastAsia="仿宋_GB2312" w:cs="仿宋_GB2312"/>
          <w:sz w:val="32"/>
          <w:szCs w:val="32"/>
        </w:rPr>
      </w:pPr>
      <w:r>
        <w:rPr>
          <w:rFonts w:hint="eastAsia" w:ascii="楷体_GB2312" w:hAnsi="楷体" w:eastAsia="楷体_GB2312" w:cs="黑体"/>
          <w:b/>
          <w:sz w:val="32"/>
          <w:szCs w:val="32"/>
        </w:rPr>
        <w:t>（六）</w:t>
      </w:r>
      <w:r>
        <w:rPr>
          <w:rFonts w:ascii="楷体_GB2312" w:hAnsi="楷体" w:eastAsia="楷体_GB2312" w:cs="黑体"/>
          <w:b/>
          <w:sz w:val="32"/>
          <w:szCs w:val="32"/>
        </w:rPr>
        <w:t>存在</w:t>
      </w:r>
      <w:r>
        <w:rPr>
          <w:rFonts w:hint="eastAsia" w:ascii="楷体_GB2312" w:hAnsi="楷体" w:eastAsia="楷体_GB2312" w:cs="黑体"/>
          <w:b/>
          <w:sz w:val="32"/>
          <w:szCs w:val="32"/>
        </w:rPr>
        <w:t>问题、原因及建议</w:t>
      </w:r>
      <w:r>
        <w:rPr>
          <w:rFonts w:ascii="楷体_GB2312" w:hAnsi="楷体" w:eastAsia="楷体_GB2312" w:cs="黑体"/>
          <w:b/>
          <w:sz w:val="32"/>
          <w:szCs w:val="32"/>
        </w:rPr>
        <w:t>。</w:t>
      </w:r>
      <w:r>
        <w:rPr>
          <w:rFonts w:hint="eastAsia" w:ascii="仿宋_GB2312" w:hAnsi="Times New Roman" w:eastAsia="仿宋_GB2312" w:cs="仿宋_GB2312"/>
          <w:sz w:val="32"/>
          <w:szCs w:val="32"/>
        </w:rPr>
        <w:t>对照国家电子商务示范基地综合评价指标体系，认真查找基地建设中存在的问题及面临的主要制约因素，深入研究基地发展目标与策略，有针对性地提出未来</w:t>
      </w:r>
      <w:r>
        <w:rPr>
          <w:rFonts w:hint="eastAsia" w:ascii="仿宋_GB2312" w:hAnsi="Times New Roman" w:eastAsia="仿宋_GB2312" w:cs="仿宋_GB2312"/>
          <w:sz w:val="32"/>
          <w:szCs w:val="32"/>
          <w:lang w:eastAsia="zh-CN"/>
        </w:rPr>
        <w:t>发展</w:t>
      </w:r>
      <w:r>
        <w:rPr>
          <w:rFonts w:hint="eastAsia" w:ascii="仿宋_GB2312" w:hAnsi="Times New Roman" w:eastAsia="仿宋_GB2312" w:cs="仿宋_GB2312"/>
          <w:sz w:val="32"/>
          <w:szCs w:val="32"/>
        </w:rPr>
        <w:t>思路和政策建议。</w:t>
      </w:r>
    </w:p>
    <w:p>
      <w:pPr>
        <w:autoSpaceDE w:val="0"/>
        <w:autoSpaceDN w:val="0"/>
        <w:adjustRightInd w:val="0"/>
        <w:spacing w:after="0" w:line="240" w:lineRule="auto"/>
        <w:ind w:firstLine="640" w:firstLineChars="200"/>
        <w:jc w:val="both"/>
        <w:rPr>
          <w:rFonts w:ascii="黑体" w:hAnsi="Times New Roman" w:eastAsia="黑体" w:cs="黑体"/>
          <w:sz w:val="32"/>
          <w:szCs w:val="32"/>
        </w:rPr>
      </w:pPr>
      <w:r>
        <w:rPr>
          <w:rFonts w:hint="eastAsia" w:ascii="黑体" w:hAnsi="Times New Roman" w:eastAsia="黑体" w:cs="黑体"/>
          <w:sz w:val="32"/>
          <w:szCs w:val="32"/>
        </w:rPr>
        <w:t>二、其他事项</w:t>
      </w:r>
    </w:p>
    <w:p>
      <w:pPr>
        <w:autoSpaceDE w:val="0"/>
        <w:autoSpaceDN w:val="0"/>
        <w:adjustRightInd w:val="0"/>
        <w:spacing w:after="0" w:line="240" w:lineRule="auto"/>
        <w:ind w:firstLine="640" w:firstLineChars="20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（一）自评报告及相关证明材料的电子版通过商务部业务系统统一平台内“电子商务信息分析管理应用”报送。如证明材料较多，可只上传电子版，不再提供纸质材料。</w:t>
      </w:r>
    </w:p>
    <w:p>
      <w:pPr>
        <w:autoSpaceDE w:val="0"/>
        <w:autoSpaceDN w:val="0"/>
        <w:adjustRightInd w:val="0"/>
        <w:spacing w:after="0" w:line="240" w:lineRule="auto"/>
        <w:ind w:firstLine="640" w:firstLineChars="20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hAnsi="Times New Roman" w:eastAsia="仿宋_GB2312" w:cs="仿宋_GB2312"/>
          <w:sz w:val="32"/>
          <w:szCs w:val="32"/>
          <w:lang w:eastAsia="zh-CN"/>
        </w:rPr>
        <w:t>商务部</w:t>
      </w:r>
      <w:r>
        <w:rPr>
          <w:rFonts w:hint="eastAsia" w:ascii="仿宋_GB2312" w:hAnsi="Times New Roman" w:eastAsia="仿宋_GB2312" w:cs="仿宋_GB2312"/>
          <w:sz w:val="32"/>
          <w:szCs w:val="32"/>
        </w:rPr>
        <w:t>将以示范基地自评报告为主要素材，组织编写《案例集》，宣传推广示范基地建设先进经验。各示范基地编制自评报告时，要围绕</w:t>
      </w:r>
      <w:r>
        <w:rPr>
          <w:rFonts w:hint="eastAsia" w:ascii="仿宋_GB2312" w:eastAsia="仿宋_GB2312" w:cs="仿宋_GB2312"/>
          <w:sz w:val="32"/>
          <w:szCs w:val="32"/>
        </w:rPr>
        <w:t>创新发展、</w:t>
      </w:r>
      <w:r>
        <w:rPr>
          <w:rFonts w:ascii="仿宋_GB2312" w:eastAsia="仿宋_GB2312" w:cs="仿宋_GB2312"/>
          <w:sz w:val="32"/>
          <w:szCs w:val="32"/>
        </w:rPr>
        <w:t>数实融合</w:t>
      </w:r>
      <w:r>
        <w:rPr>
          <w:rFonts w:hint="eastAsia" w:ascii="仿宋_GB2312" w:eastAsia="仿宋_GB2312" w:cs="仿宋_GB2312"/>
          <w:sz w:val="32"/>
          <w:szCs w:val="32"/>
        </w:rPr>
        <w:t>、产业促进、品牌培育、助农兴农、绿色发展、党</w:t>
      </w:r>
      <w:r>
        <w:rPr>
          <w:rFonts w:hint="eastAsia" w:ascii="仿宋_GB2312" w:eastAsia="仿宋_GB2312" w:cs="仿宋_GB2312"/>
          <w:sz w:val="32"/>
          <w:szCs w:val="32"/>
          <w:lang w:eastAsia="zh-CN"/>
        </w:rPr>
        <w:t>的</w:t>
      </w:r>
      <w:r>
        <w:rPr>
          <w:rFonts w:hint="eastAsia" w:ascii="仿宋_GB2312" w:eastAsia="仿宋_GB2312" w:cs="仿宋_GB2312"/>
          <w:sz w:val="32"/>
          <w:szCs w:val="32"/>
        </w:rPr>
        <w:t>建设等领域</w:t>
      </w:r>
      <w:r>
        <w:rPr>
          <w:rFonts w:hint="eastAsia" w:ascii="仿宋_GB2312" w:hAnsi="Times New Roman" w:eastAsia="仿宋_GB2312" w:cs="仿宋_GB2312"/>
          <w:sz w:val="32"/>
          <w:szCs w:val="32"/>
        </w:rPr>
        <w:t>，将某一或若干领域特色突出、效果显著的做法写清写透（字体加黑标注），《案例集》将择优采纳。</w:t>
      </w:r>
    </w:p>
    <w:p>
      <w:pPr>
        <w:autoSpaceDE w:val="0"/>
        <w:autoSpaceDN w:val="0"/>
        <w:adjustRightInd w:val="0"/>
        <w:spacing w:after="0" w:line="240" w:lineRule="auto"/>
        <w:ind w:firstLine="640" w:firstLineChars="200"/>
        <w:jc w:val="both"/>
        <w:rPr>
          <w:rFonts w:ascii="仿宋_GB2312" w:hAnsi="Times New Roman" w:eastAsia="仿宋_GB2312" w:cs="仿宋_GB2312"/>
          <w:sz w:val="32"/>
          <w:szCs w:val="32"/>
        </w:rPr>
        <w:sectPr>
          <w:pgSz w:w="11906" w:h="16838"/>
          <w:pgMar w:top="1440" w:right="1560" w:bottom="1318" w:left="1560" w:header="851" w:footer="992" w:gutter="0"/>
          <w:cols w:space="425" w:num="1"/>
          <w:docGrid w:type="lines" w:linePitch="312" w:charSpace="0"/>
        </w:sectPr>
      </w:pPr>
    </w:p>
    <w:p>
      <w:pPr>
        <w:spacing w:after="0" w:line="260" w:lineRule="exact"/>
        <w:rPr>
          <w:rFonts w:asciiTheme="majorEastAsia" w:hAnsiTheme="majorEastAsia" w:eastAsiaTheme="majorEastAsia" w:cstheme="majorEastAsia"/>
        </w:rPr>
      </w:pPr>
    </w:p>
    <w:sectPr>
      <w:pgSz w:w="16838" w:h="11906" w:orient="landscape"/>
      <w:pgMar w:top="1560" w:right="1440" w:bottom="156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341870"/>
    </w:sdtPr>
    <w:sdtContent>
      <w:p>
        <w:pPr>
          <w:pStyle w:val="14"/>
          <w:jc w:val="center"/>
        </w:pPr>
        <w:r>
          <w:fldChar w:fldCharType="begin"/>
        </w:r>
        <w:r>
          <w:instrText xml:space="preserve">PAGE   \* MERGEFORMAT</w:instrText>
        </w:r>
        <w:r>
          <w:fldChar w:fldCharType="separate"/>
        </w:r>
        <w:r>
          <w:rPr>
            <w:lang w:val="zh-CN"/>
          </w:rPr>
          <w:t>25</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341870"/>
    </w:sdtPr>
    <w:sdtContent>
      <w:p>
        <w:pPr>
          <w:pStyle w:val="14"/>
          <w:jc w:val="center"/>
        </w:pPr>
        <w:r>
          <w:fldChar w:fldCharType="begin"/>
        </w:r>
        <w:r>
          <w:instrText xml:space="preserve">PAGE   \* MERGEFORMAT</w:instrText>
        </w:r>
        <w:r>
          <w:fldChar w:fldCharType="separate"/>
        </w:r>
        <w:r>
          <w:rPr>
            <w:lang w:val="zh-CN"/>
          </w:rPr>
          <w:t>25</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17"/>
        <w:keepNext w:val="0"/>
        <w:keepLines w:val="0"/>
        <w:pageBreakBefore w:val="0"/>
        <w:widowControl/>
        <w:numPr>
          <w:ilvl w:val="0"/>
          <w:numId w:val="0"/>
        </w:numPr>
        <w:kinsoku/>
        <w:wordWrap/>
        <w:overflowPunct/>
        <w:topLinePunct w:val="0"/>
        <w:autoSpaceDE/>
        <w:autoSpaceDN/>
        <w:bidi w:val="0"/>
        <w:adjustRightInd/>
        <w:snapToGrid w:val="0"/>
        <w:spacing w:after="0" w:line="240" w:lineRule="auto"/>
        <w:textAlignment w:val="auto"/>
        <w:rPr>
          <w:rFonts w:hint="eastAsia" w:ascii="仿宋_GB2312" w:hAnsi="仿宋_GB2312" w:eastAsia="仿宋_GB2312" w:cs="仿宋_GB2312"/>
          <w:sz w:val="20"/>
          <w:szCs w:val="20"/>
          <w:lang w:val="en-US" w:eastAsia="zh-CN"/>
        </w:rPr>
      </w:pPr>
    </w:p>
    <w:p>
      <w:pPr>
        <w:pStyle w:val="17"/>
        <w:keepNext w:val="0"/>
        <w:keepLines w:val="0"/>
        <w:pageBreakBefore w:val="0"/>
        <w:widowControl/>
        <w:numPr>
          <w:ilvl w:val="0"/>
          <w:numId w:val="0"/>
        </w:numPr>
        <w:kinsoku/>
        <w:wordWrap/>
        <w:overflowPunct/>
        <w:topLinePunct w:val="0"/>
        <w:autoSpaceDE/>
        <w:autoSpaceDN/>
        <w:bidi w:val="0"/>
        <w:adjustRightInd/>
        <w:snapToGrid w:val="0"/>
        <w:spacing w:after="0" w:line="240" w:lineRule="auto"/>
        <w:textAlignment w:val="auto"/>
        <w:rPr>
          <w:rFonts w:hint="eastAsia" w:ascii="宋体" w:hAnsi="宋体" w:eastAsia="宋体" w:cs="Times New Roman"/>
          <w:sz w:val="20"/>
        </w:rPr>
      </w:pPr>
      <w:r>
        <w:rPr>
          <w:rFonts w:hint="eastAsia" w:ascii="仿宋_GB2312" w:hAnsi="仿宋_GB2312" w:eastAsia="仿宋_GB2312" w:cs="仿宋_GB2312"/>
          <w:sz w:val="20"/>
          <w:szCs w:val="20"/>
          <w:lang w:val="en-US" w:eastAsia="zh-CN"/>
        </w:rPr>
        <w:t xml:space="preserve">    1.</w:t>
      </w:r>
      <w:r>
        <w:rPr>
          <w:rStyle w:val="27"/>
          <w:sz w:val="22"/>
        </w:rPr>
        <w:footnoteRef/>
      </w:r>
      <w:r>
        <w:rPr>
          <w:rFonts w:hint="eastAsia" w:ascii="宋体" w:hAnsi="宋体" w:eastAsia="宋体" w:cs="Times New Roman"/>
          <w:sz w:val="20"/>
        </w:rPr>
        <w:t>此栏填写注意事项：基地应具备明确的地理边界，清晰的四至范围；基地的空间分布在原则上要保持连续，各功能板块应隶属于同一运营主体。</w:t>
      </w:r>
    </w:p>
    <w:p>
      <w:pPr>
        <w:pStyle w:val="17"/>
        <w:keepNext w:val="0"/>
        <w:keepLines w:val="0"/>
        <w:pageBreakBefore w:val="0"/>
        <w:widowControl/>
        <w:numPr>
          <w:ilvl w:val="0"/>
          <w:numId w:val="0"/>
        </w:numPr>
        <w:kinsoku/>
        <w:wordWrap/>
        <w:overflowPunct/>
        <w:topLinePunct w:val="0"/>
        <w:autoSpaceDE/>
        <w:autoSpaceDN/>
        <w:bidi w:val="0"/>
        <w:adjustRightInd/>
        <w:snapToGrid w:val="0"/>
        <w:spacing w:after="0" w:line="240" w:lineRule="auto"/>
        <w:textAlignment w:val="auto"/>
        <w:rPr>
          <w:rFonts w:ascii="宋体" w:hAnsi="宋体" w:eastAsia="宋体" w:cs="Times New Roman"/>
          <w:sz w:val="20"/>
        </w:rPr>
      </w:pPr>
      <w:r>
        <w:rPr>
          <w:rFonts w:hint="eastAsia" w:ascii="宋体" w:hAnsi="宋体" w:eastAsia="宋体" w:cs="Times New Roman"/>
          <w:sz w:val="20"/>
          <w:lang w:val="en-US" w:eastAsia="zh-CN"/>
        </w:rPr>
        <w:t xml:space="preserve">    2.电子商务产业基地包括电子商务产业园、楼宇型电子商务产业基地，电子商务特色小镇、街、区等电子商务产业集聚区。</w:t>
      </w:r>
    </w:p>
    <w:p>
      <w:pPr>
        <w:pStyle w:val="17"/>
        <w:spacing w:after="0" w:line="240" w:lineRule="auto"/>
        <w:rPr>
          <w:rFonts w:ascii="宋体" w:hAnsi="宋体" w:eastAsia="宋体" w:cs="Times New Roman"/>
          <w:sz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F16B4"/>
    <w:multiLevelType w:val="singleLevel"/>
    <w:tmpl w:val="CC7F16B4"/>
    <w:lvl w:ilvl="0" w:tentative="0">
      <w:start w:val="1"/>
      <w:numFmt w:val="decimal"/>
      <w:suff w:val="nothing"/>
      <w:lvlText w:val="（%1）"/>
      <w:lvlJc w:val="left"/>
    </w:lvl>
  </w:abstractNum>
  <w:abstractNum w:abstractNumId="1">
    <w:nsid w:val="7F663245"/>
    <w:multiLevelType w:val="singleLevel"/>
    <w:tmpl w:val="7F66324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5MDllOGVjNmNjYzBjNGZiNTQ0MDU4NzEyYjE5NzAifQ=="/>
  </w:docVars>
  <w:rsids>
    <w:rsidRoot w:val="007C1A2B"/>
    <w:rsid w:val="00003606"/>
    <w:rsid w:val="00005FA7"/>
    <w:rsid w:val="00012838"/>
    <w:rsid w:val="000165B8"/>
    <w:rsid w:val="00025179"/>
    <w:rsid w:val="0002564F"/>
    <w:rsid w:val="0003072A"/>
    <w:rsid w:val="000326E0"/>
    <w:rsid w:val="0003716F"/>
    <w:rsid w:val="00037988"/>
    <w:rsid w:val="00041961"/>
    <w:rsid w:val="0004689D"/>
    <w:rsid w:val="00050B7E"/>
    <w:rsid w:val="00060303"/>
    <w:rsid w:val="0006417C"/>
    <w:rsid w:val="00071FD3"/>
    <w:rsid w:val="00095FC6"/>
    <w:rsid w:val="00096223"/>
    <w:rsid w:val="000A2631"/>
    <w:rsid w:val="000A472A"/>
    <w:rsid w:val="000A781B"/>
    <w:rsid w:val="000B3EA4"/>
    <w:rsid w:val="000C4706"/>
    <w:rsid w:val="000C52A3"/>
    <w:rsid w:val="000E08F2"/>
    <w:rsid w:val="000E1158"/>
    <w:rsid w:val="000E19C0"/>
    <w:rsid w:val="000E2407"/>
    <w:rsid w:val="000F7072"/>
    <w:rsid w:val="00104882"/>
    <w:rsid w:val="0011553B"/>
    <w:rsid w:val="001165CC"/>
    <w:rsid w:val="001236E7"/>
    <w:rsid w:val="001316FF"/>
    <w:rsid w:val="00136B21"/>
    <w:rsid w:val="00140052"/>
    <w:rsid w:val="0014016C"/>
    <w:rsid w:val="0014175A"/>
    <w:rsid w:val="00143B94"/>
    <w:rsid w:val="001448E4"/>
    <w:rsid w:val="00163E43"/>
    <w:rsid w:val="00165B93"/>
    <w:rsid w:val="001718B4"/>
    <w:rsid w:val="00171ABC"/>
    <w:rsid w:val="001810E4"/>
    <w:rsid w:val="00195264"/>
    <w:rsid w:val="00196E50"/>
    <w:rsid w:val="001A0F1A"/>
    <w:rsid w:val="001A2814"/>
    <w:rsid w:val="001A2D6F"/>
    <w:rsid w:val="001A52C6"/>
    <w:rsid w:val="001A52F5"/>
    <w:rsid w:val="001B4573"/>
    <w:rsid w:val="001B5875"/>
    <w:rsid w:val="001C3B78"/>
    <w:rsid w:val="001C6C09"/>
    <w:rsid w:val="001D6714"/>
    <w:rsid w:val="001E5ED4"/>
    <w:rsid w:val="001F187A"/>
    <w:rsid w:val="001F2893"/>
    <w:rsid w:val="00203A0C"/>
    <w:rsid w:val="00222102"/>
    <w:rsid w:val="002243CC"/>
    <w:rsid w:val="00227813"/>
    <w:rsid w:val="00230047"/>
    <w:rsid w:val="0026012A"/>
    <w:rsid w:val="0026066A"/>
    <w:rsid w:val="002618E4"/>
    <w:rsid w:val="00262D73"/>
    <w:rsid w:val="002633E8"/>
    <w:rsid w:val="002C72F5"/>
    <w:rsid w:val="002D3BF8"/>
    <w:rsid w:val="002F150D"/>
    <w:rsid w:val="002F2A56"/>
    <w:rsid w:val="002F41A6"/>
    <w:rsid w:val="00304DAA"/>
    <w:rsid w:val="00306F44"/>
    <w:rsid w:val="00315600"/>
    <w:rsid w:val="0032412D"/>
    <w:rsid w:val="00326B0F"/>
    <w:rsid w:val="003410F4"/>
    <w:rsid w:val="00346493"/>
    <w:rsid w:val="003514DE"/>
    <w:rsid w:val="003628F5"/>
    <w:rsid w:val="00367150"/>
    <w:rsid w:val="00367D8F"/>
    <w:rsid w:val="00374B9F"/>
    <w:rsid w:val="00377C00"/>
    <w:rsid w:val="00386B38"/>
    <w:rsid w:val="00390E85"/>
    <w:rsid w:val="003927FE"/>
    <w:rsid w:val="00394C91"/>
    <w:rsid w:val="003A7213"/>
    <w:rsid w:val="003B4F9F"/>
    <w:rsid w:val="003B713A"/>
    <w:rsid w:val="003D657F"/>
    <w:rsid w:val="003F11E0"/>
    <w:rsid w:val="003F3BF4"/>
    <w:rsid w:val="003F4189"/>
    <w:rsid w:val="003F7CF7"/>
    <w:rsid w:val="004111F5"/>
    <w:rsid w:val="004174C2"/>
    <w:rsid w:val="0043479D"/>
    <w:rsid w:val="00436C3C"/>
    <w:rsid w:val="004651BE"/>
    <w:rsid w:val="004665C0"/>
    <w:rsid w:val="0046715E"/>
    <w:rsid w:val="00470168"/>
    <w:rsid w:val="00474DA7"/>
    <w:rsid w:val="00477EDB"/>
    <w:rsid w:val="00483595"/>
    <w:rsid w:val="0048518D"/>
    <w:rsid w:val="0049151B"/>
    <w:rsid w:val="004941CF"/>
    <w:rsid w:val="004A1C45"/>
    <w:rsid w:val="004A381B"/>
    <w:rsid w:val="004A46BF"/>
    <w:rsid w:val="004A46FF"/>
    <w:rsid w:val="004B6D49"/>
    <w:rsid w:val="004C00AF"/>
    <w:rsid w:val="004C00D7"/>
    <w:rsid w:val="004C1C22"/>
    <w:rsid w:val="004C589B"/>
    <w:rsid w:val="004D2871"/>
    <w:rsid w:val="004D54DE"/>
    <w:rsid w:val="004E6536"/>
    <w:rsid w:val="004F2C2C"/>
    <w:rsid w:val="004F3E00"/>
    <w:rsid w:val="004F49DE"/>
    <w:rsid w:val="00501737"/>
    <w:rsid w:val="005151CF"/>
    <w:rsid w:val="00517A34"/>
    <w:rsid w:val="00521077"/>
    <w:rsid w:val="00527592"/>
    <w:rsid w:val="00550B66"/>
    <w:rsid w:val="005520DA"/>
    <w:rsid w:val="00554783"/>
    <w:rsid w:val="005609BE"/>
    <w:rsid w:val="00567EBC"/>
    <w:rsid w:val="005706D5"/>
    <w:rsid w:val="00576FC6"/>
    <w:rsid w:val="005B6C79"/>
    <w:rsid w:val="005B7FBF"/>
    <w:rsid w:val="005C5954"/>
    <w:rsid w:val="005E0850"/>
    <w:rsid w:val="00601C45"/>
    <w:rsid w:val="00612C5F"/>
    <w:rsid w:val="00612D09"/>
    <w:rsid w:val="00616DE2"/>
    <w:rsid w:val="006224B3"/>
    <w:rsid w:val="00626704"/>
    <w:rsid w:val="00641A40"/>
    <w:rsid w:val="00644D78"/>
    <w:rsid w:val="006450FC"/>
    <w:rsid w:val="006679DD"/>
    <w:rsid w:val="00673AD6"/>
    <w:rsid w:val="006740A7"/>
    <w:rsid w:val="006746DD"/>
    <w:rsid w:val="00675E78"/>
    <w:rsid w:val="00677ED1"/>
    <w:rsid w:val="0068787D"/>
    <w:rsid w:val="00692E05"/>
    <w:rsid w:val="00694CF7"/>
    <w:rsid w:val="006A1FA8"/>
    <w:rsid w:val="006A24A6"/>
    <w:rsid w:val="006A6CFB"/>
    <w:rsid w:val="006C5DA7"/>
    <w:rsid w:val="006D04A6"/>
    <w:rsid w:val="006D4EDF"/>
    <w:rsid w:val="006D74C9"/>
    <w:rsid w:val="006F59B2"/>
    <w:rsid w:val="00710B53"/>
    <w:rsid w:val="00714992"/>
    <w:rsid w:val="00723888"/>
    <w:rsid w:val="0072420E"/>
    <w:rsid w:val="007316C9"/>
    <w:rsid w:val="007318DA"/>
    <w:rsid w:val="00734B75"/>
    <w:rsid w:val="007410DF"/>
    <w:rsid w:val="0076514C"/>
    <w:rsid w:val="007703D5"/>
    <w:rsid w:val="007735A5"/>
    <w:rsid w:val="00774108"/>
    <w:rsid w:val="007772CD"/>
    <w:rsid w:val="00786164"/>
    <w:rsid w:val="00793EBD"/>
    <w:rsid w:val="00794D2D"/>
    <w:rsid w:val="007B5EC6"/>
    <w:rsid w:val="007B776B"/>
    <w:rsid w:val="007C1A2B"/>
    <w:rsid w:val="007C5BAA"/>
    <w:rsid w:val="007E1F8F"/>
    <w:rsid w:val="007E3CA4"/>
    <w:rsid w:val="007E6B7F"/>
    <w:rsid w:val="007F1F3C"/>
    <w:rsid w:val="007F303C"/>
    <w:rsid w:val="007F5C24"/>
    <w:rsid w:val="00800F02"/>
    <w:rsid w:val="00801504"/>
    <w:rsid w:val="00804CC0"/>
    <w:rsid w:val="008065AF"/>
    <w:rsid w:val="00807AC3"/>
    <w:rsid w:val="00815D36"/>
    <w:rsid w:val="008202C6"/>
    <w:rsid w:val="008237FC"/>
    <w:rsid w:val="00824C11"/>
    <w:rsid w:val="008270EC"/>
    <w:rsid w:val="008273E0"/>
    <w:rsid w:val="00827D95"/>
    <w:rsid w:val="00830C14"/>
    <w:rsid w:val="00832DE8"/>
    <w:rsid w:val="00834875"/>
    <w:rsid w:val="008363BF"/>
    <w:rsid w:val="00852A6B"/>
    <w:rsid w:val="0085385E"/>
    <w:rsid w:val="00855F2B"/>
    <w:rsid w:val="008638FE"/>
    <w:rsid w:val="00875665"/>
    <w:rsid w:val="008771FB"/>
    <w:rsid w:val="00877EFC"/>
    <w:rsid w:val="008813AC"/>
    <w:rsid w:val="0088140B"/>
    <w:rsid w:val="00881F8D"/>
    <w:rsid w:val="008A008E"/>
    <w:rsid w:val="008A3138"/>
    <w:rsid w:val="008A3229"/>
    <w:rsid w:val="008D0FE6"/>
    <w:rsid w:val="008D2EBD"/>
    <w:rsid w:val="008D5747"/>
    <w:rsid w:val="008F3938"/>
    <w:rsid w:val="009073DA"/>
    <w:rsid w:val="0093253D"/>
    <w:rsid w:val="009325D0"/>
    <w:rsid w:val="00952B6F"/>
    <w:rsid w:val="009545F2"/>
    <w:rsid w:val="0095476E"/>
    <w:rsid w:val="0095792E"/>
    <w:rsid w:val="00962962"/>
    <w:rsid w:val="009673FA"/>
    <w:rsid w:val="00970BDD"/>
    <w:rsid w:val="00986263"/>
    <w:rsid w:val="009A3DCC"/>
    <w:rsid w:val="009B4F81"/>
    <w:rsid w:val="009C133F"/>
    <w:rsid w:val="009E0CF7"/>
    <w:rsid w:val="009E2334"/>
    <w:rsid w:val="009E53B1"/>
    <w:rsid w:val="00A06CD8"/>
    <w:rsid w:val="00A119F8"/>
    <w:rsid w:val="00A12105"/>
    <w:rsid w:val="00A1483D"/>
    <w:rsid w:val="00A260C0"/>
    <w:rsid w:val="00A43C32"/>
    <w:rsid w:val="00A46A8C"/>
    <w:rsid w:val="00A51918"/>
    <w:rsid w:val="00A52480"/>
    <w:rsid w:val="00A52763"/>
    <w:rsid w:val="00A5699F"/>
    <w:rsid w:val="00A576B3"/>
    <w:rsid w:val="00A61DF0"/>
    <w:rsid w:val="00A66A69"/>
    <w:rsid w:val="00A70298"/>
    <w:rsid w:val="00A71911"/>
    <w:rsid w:val="00A7353D"/>
    <w:rsid w:val="00A92838"/>
    <w:rsid w:val="00A92A4E"/>
    <w:rsid w:val="00AA7C02"/>
    <w:rsid w:val="00AC5E05"/>
    <w:rsid w:val="00AD0258"/>
    <w:rsid w:val="00AD754B"/>
    <w:rsid w:val="00AD7759"/>
    <w:rsid w:val="00AE4482"/>
    <w:rsid w:val="00AE7AF3"/>
    <w:rsid w:val="00AF42AA"/>
    <w:rsid w:val="00B02396"/>
    <w:rsid w:val="00B04119"/>
    <w:rsid w:val="00B06685"/>
    <w:rsid w:val="00B173F8"/>
    <w:rsid w:val="00B278FC"/>
    <w:rsid w:val="00B32377"/>
    <w:rsid w:val="00B42E7B"/>
    <w:rsid w:val="00B5329D"/>
    <w:rsid w:val="00B54759"/>
    <w:rsid w:val="00B73F35"/>
    <w:rsid w:val="00B82FF8"/>
    <w:rsid w:val="00B945FB"/>
    <w:rsid w:val="00BA62A3"/>
    <w:rsid w:val="00BB1925"/>
    <w:rsid w:val="00BD35DF"/>
    <w:rsid w:val="00BD6DDA"/>
    <w:rsid w:val="00BE0823"/>
    <w:rsid w:val="00BE5803"/>
    <w:rsid w:val="00BF3BF7"/>
    <w:rsid w:val="00BF4603"/>
    <w:rsid w:val="00C0691A"/>
    <w:rsid w:val="00C10145"/>
    <w:rsid w:val="00C11396"/>
    <w:rsid w:val="00C33E6F"/>
    <w:rsid w:val="00C34221"/>
    <w:rsid w:val="00C40312"/>
    <w:rsid w:val="00C40E35"/>
    <w:rsid w:val="00C47E60"/>
    <w:rsid w:val="00C516C0"/>
    <w:rsid w:val="00C52B32"/>
    <w:rsid w:val="00C5450E"/>
    <w:rsid w:val="00C60D49"/>
    <w:rsid w:val="00C65EDC"/>
    <w:rsid w:val="00C73F21"/>
    <w:rsid w:val="00C80635"/>
    <w:rsid w:val="00C85F44"/>
    <w:rsid w:val="00C92E2C"/>
    <w:rsid w:val="00C94DAE"/>
    <w:rsid w:val="00CA0E50"/>
    <w:rsid w:val="00CA396B"/>
    <w:rsid w:val="00CA3EC4"/>
    <w:rsid w:val="00CB036A"/>
    <w:rsid w:val="00CB1808"/>
    <w:rsid w:val="00CB1B89"/>
    <w:rsid w:val="00CB1DAB"/>
    <w:rsid w:val="00CB3997"/>
    <w:rsid w:val="00CB481A"/>
    <w:rsid w:val="00CB4FAF"/>
    <w:rsid w:val="00CB702C"/>
    <w:rsid w:val="00CB7242"/>
    <w:rsid w:val="00CB755B"/>
    <w:rsid w:val="00CC1207"/>
    <w:rsid w:val="00CC2886"/>
    <w:rsid w:val="00CC4A17"/>
    <w:rsid w:val="00CD4349"/>
    <w:rsid w:val="00CD4826"/>
    <w:rsid w:val="00CE0C90"/>
    <w:rsid w:val="00CE1C5F"/>
    <w:rsid w:val="00CE2963"/>
    <w:rsid w:val="00CE429D"/>
    <w:rsid w:val="00CE48F2"/>
    <w:rsid w:val="00CE7262"/>
    <w:rsid w:val="00CF5BDB"/>
    <w:rsid w:val="00CF783C"/>
    <w:rsid w:val="00D068BF"/>
    <w:rsid w:val="00D06BD6"/>
    <w:rsid w:val="00D16084"/>
    <w:rsid w:val="00D37107"/>
    <w:rsid w:val="00D443A0"/>
    <w:rsid w:val="00D47B63"/>
    <w:rsid w:val="00D54AA7"/>
    <w:rsid w:val="00D62F85"/>
    <w:rsid w:val="00D71D1E"/>
    <w:rsid w:val="00D8066C"/>
    <w:rsid w:val="00DA30B5"/>
    <w:rsid w:val="00DB100C"/>
    <w:rsid w:val="00DC6316"/>
    <w:rsid w:val="00DD1E58"/>
    <w:rsid w:val="00DE322B"/>
    <w:rsid w:val="00DE43A0"/>
    <w:rsid w:val="00DE44B4"/>
    <w:rsid w:val="00DE4895"/>
    <w:rsid w:val="00DE7868"/>
    <w:rsid w:val="00DF6357"/>
    <w:rsid w:val="00E00A97"/>
    <w:rsid w:val="00E05C3F"/>
    <w:rsid w:val="00E109C6"/>
    <w:rsid w:val="00E128B6"/>
    <w:rsid w:val="00E150BC"/>
    <w:rsid w:val="00E17372"/>
    <w:rsid w:val="00E21D18"/>
    <w:rsid w:val="00E24B75"/>
    <w:rsid w:val="00E313A9"/>
    <w:rsid w:val="00E44987"/>
    <w:rsid w:val="00E53EEE"/>
    <w:rsid w:val="00E61804"/>
    <w:rsid w:val="00E72734"/>
    <w:rsid w:val="00E74C94"/>
    <w:rsid w:val="00E831A1"/>
    <w:rsid w:val="00E8326F"/>
    <w:rsid w:val="00E84C1F"/>
    <w:rsid w:val="00E91140"/>
    <w:rsid w:val="00E93A0C"/>
    <w:rsid w:val="00E95B0F"/>
    <w:rsid w:val="00E97E68"/>
    <w:rsid w:val="00EA5FF7"/>
    <w:rsid w:val="00EB3DC3"/>
    <w:rsid w:val="00EB58DC"/>
    <w:rsid w:val="00EC0E78"/>
    <w:rsid w:val="00ED08CA"/>
    <w:rsid w:val="00EE540C"/>
    <w:rsid w:val="00EE78E1"/>
    <w:rsid w:val="00EF378D"/>
    <w:rsid w:val="00EF6F2A"/>
    <w:rsid w:val="00F0496F"/>
    <w:rsid w:val="00F04F42"/>
    <w:rsid w:val="00F07E4B"/>
    <w:rsid w:val="00F106AF"/>
    <w:rsid w:val="00F11F8C"/>
    <w:rsid w:val="00F17165"/>
    <w:rsid w:val="00F26872"/>
    <w:rsid w:val="00F330A8"/>
    <w:rsid w:val="00F334FE"/>
    <w:rsid w:val="00F50918"/>
    <w:rsid w:val="00F553F9"/>
    <w:rsid w:val="00F61444"/>
    <w:rsid w:val="00F75DEE"/>
    <w:rsid w:val="00F77740"/>
    <w:rsid w:val="00F83525"/>
    <w:rsid w:val="00F8692C"/>
    <w:rsid w:val="00FA2E42"/>
    <w:rsid w:val="00FB4937"/>
    <w:rsid w:val="00FB4AB7"/>
    <w:rsid w:val="00FC483C"/>
    <w:rsid w:val="00FD2657"/>
    <w:rsid w:val="00FD646D"/>
    <w:rsid w:val="00FD710F"/>
    <w:rsid w:val="00FE056A"/>
    <w:rsid w:val="00FE46FE"/>
    <w:rsid w:val="00FF30DB"/>
    <w:rsid w:val="00FF5CFB"/>
    <w:rsid w:val="33BF91F5"/>
    <w:rsid w:val="34B84BE5"/>
    <w:rsid w:val="3BFEF538"/>
    <w:rsid w:val="3DEF2440"/>
    <w:rsid w:val="3FFD2573"/>
    <w:rsid w:val="4C8E8A59"/>
    <w:rsid w:val="51BE48E8"/>
    <w:rsid w:val="5DAF03AE"/>
    <w:rsid w:val="5E3B552E"/>
    <w:rsid w:val="5FFDA454"/>
    <w:rsid w:val="61743EE2"/>
    <w:rsid w:val="67FF5A3D"/>
    <w:rsid w:val="6B7ED20D"/>
    <w:rsid w:val="7A3ECA1C"/>
    <w:rsid w:val="7B3DD58D"/>
    <w:rsid w:val="7B6C6895"/>
    <w:rsid w:val="7B6DBA3F"/>
    <w:rsid w:val="7DDA0EBA"/>
    <w:rsid w:val="7DE37785"/>
    <w:rsid w:val="7EAEAE04"/>
    <w:rsid w:val="7EFFF0BB"/>
    <w:rsid w:val="7F76716B"/>
    <w:rsid w:val="7F7E85D0"/>
    <w:rsid w:val="7FC5416A"/>
    <w:rsid w:val="7FF590AB"/>
    <w:rsid w:val="9FDDFF59"/>
    <w:rsid w:val="B4DF45B7"/>
    <w:rsid w:val="BE9FC777"/>
    <w:rsid w:val="BECF086C"/>
    <w:rsid w:val="BEEFEDE9"/>
    <w:rsid w:val="D7EF8F6D"/>
    <w:rsid w:val="DB76727E"/>
    <w:rsid w:val="DBFD1D26"/>
    <w:rsid w:val="DFEC03F9"/>
    <w:rsid w:val="DFFDE6C6"/>
    <w:rsid w:val="E7FD0C44"/>
    <w:rsid w:val="EB7D2016"/>
    <w:rsid w:val="EF0E75AA"/>
    <w:rsid w:val="F32BEF57"/>
    <w:rsid w:val="F5FF0E04"/>
    <w:rsid w:val="F7DF3754"/>
    <w:rsid w:val="F8FBE026"/>
    <w:rsid w:val="FB76FCD4"/>
    <w:rsid w:val="FDDF8F2D"/>
    <w:rsid w:val="FDFD8383"/>
    <w:rsid w:val="FF3B95AA"/>
    <w:rsid w:val="FF9F655F"/>
    <w:rsid w:val="FFF7FCB7"/>
    <w:rsid w:val="FFFF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7"/>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38"/>
    <w:semiHidden/>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8"/>
      <w:szCs w:val="28"/>
    </w:rPr>
  </w:style>
  <w:style w:type="paragraph" w:styleId="4">
    <w:name w:val="heading 3"/>
    <w:basedOn w:val="1"/>
    <w:next w:val="1"/>
    <w:link w:val="39"/>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40"/>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1"/>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42"/>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43"/>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44"/>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5"/>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2">
    <w:name w:val="annotation text"/>
    <w:basedOn w:val="1"/>
    <w:link w:val="32"/>
    <w:unhideWhenUsed/>
    <w:qFormat/>
    <w:uiPriority w:val="99"/>
  </w:style>
  <w:style w:type="paragraph" w:styleId="13">
    <w:name w:val="Balloon Text"/>
    <w:basedOn w:val="1"/>
    <w:link w:val="34"/>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7"/>
    <w:qFormat/>
    <w:uiPriority w:val="11"/>
    <w:rPr>
      <w:color w:val="595959" w:themeColor="text1" w:themeTint="A6"/>
      <w:spacing w:val="15"/>
      <w14:textFill>
        <w14:solidFill>
          <w14:schemeClr w14:val="tx1">
            <w14:lumMod w14:val="65000"/>
            <w14:lumOff w14:val="35000"/>
          </w14:schemeClr>
        </w14:solidFill>
      </w14:textFill>
    </w:rPr>
  </w:style>
  <w:style w:type="paragraph" w:styleId="17">
    <w:name w:val="footnote text"/>
    <w:basedOn w:val="1"/>
    <w:link w:val="30"/>
    <w:unhideWhenUsed/>
    <w:qFormat/>
    <w:uiPriority w:val="0"/>
    <w:pPr>
      <w:snapToGrid w:val="0"/>
    </w:pPr>
    <w:rPr>
      <w:sz w:val="18"/>
      <w:szCs w:val="18"/>
    </w:rPr>
  </w:style>
  <w:style w:type="paragraph" w:styleId="18">
    <w:name w:val="Title"/>
    <w:basedOn w:val="1"/>
    <w:next w:val="1"/>
    <w:link w:val="46"/>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19">
    <w:name w:val="annotation subject"/>
    <w:basedOn w:val="12"/>
    <w:next w:val="12"/>
    <w:link w:val="33"/>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color w:val="auto"/>
    </w:rPr>
  </w:style>
  <w:style w:type="character" w:styleId="24">
    <w:name w:val="Emphasis"/>
    <w:basedOn w:val="22"/>
    <w:qFormat/>
    <w:uiPriority w:val="20"/>
    <w:rPr>
      <w:i/>
      <w:iCs/>
      <w:color w:val="auto"/>
    </w:rPr>
  </w:style>
  <w:style w:type="character" w:styleId="25">
    <w:name w:val="Hyperlink"/>
    <w:basedOn w:val="22"/>
    <w:unhideWhenUsed/>
    <w:qFormat/>
    <w:uiPriority w:val="99"/>
    <w:rPr>
      <w:color w:val="0000FF"/>
      <w:u w:val="single"/>
    </w:rPr>
  </w:style>
  <w:style w:type="character" w:styleId="26">
    <w:name w:val="annotation reference"/>
    <w:basedOn w:val="22"/>
    <w:unhideWhenUsed/>
    <w:qFormat/>
    <w:uiPriority w:val="99"/>
    <w:rPr>
      <w:sz w:val="21"/>
      <w:szCs w:val="21"/>
    </w:rPr>
  </w:style>
  <w:style w:type="character" w:styleId="27">
    <w:name w:val="footnote reference"/>
    <w:basedOn w:val="22"/>
    <w:unhideWhenUsed/>
    <w:qFormat/>
    <w:uiPriority w:val="99"/>
    <w:rPr>
      <w:vertAlign w:val="superscript"/>
    </w:rPr>
  </w:style>
  <w:style w:type="character" w:customStyle="1" w:styleId="28">
    <w:name w:val="页眉 Char"/>
    <w:basedOn w:val="22"/>
    <w:link w:val="15"/>
    <w:qFormat/>
    <w:uiPriority w:val="99"/>
    <w:rPr>
      <w:sz w:val="18"/>
      <w:szCs w:val="18"/>
    </w:rPr>
  </w:style>
  <w:style w:type="character" w:customStyle="1" w:styleId="29">
    <w:name w:val="页脚 Char"/>
    <w:basedOn w:val="22"/>
    <w:link w:val="14"/>
    <w:qFormat/>
    <w:uiPriority w:val="99"/>
    <w:rPr>
      <w:sz w:val="18"/>
      <w:szCs w:val="18"/>
    </w:rPr>
  </w:style>
  <w:style w:type="character" w:customStyle="1" w:styleId="30">
    <w:name w:val="脚注文本 Char"/>
    <w:basedOn w:val="22"/>
    <w:link w:val="17"/>
    <w:semiHidden/>
    <w:qFormat/>
    <w:uiPriority w:val="99"/>
    <w:rPr>
      <w:sz w:val="18"/>
      <w:szCs w:val="18"/>
    </w:rPr>
  </w:style>
  <w:style w:type="paragraph" w:customStyle="1" w:styleId="31">
    <w:name w:val="列出段落1"/>
    <w:basedOn w:val="1"/>
    <w:qFormat/>
    <w:uiPriority w:val="34"/>
    <w:pPr>
      <w:ind w:firstLine="420" w:firstLineChars="200"/>
    </w:pPr>
  </w:style>
  <w:style w:type="character" w:customStyle="1" w:styleId="32">
    <w:name w:val="批注文字 Char"/>
    <w:basedOn w:val="22"/>
    <w:link w:val="12"/>
    <w:semiHidden/>
    <w:qFormat/>
    <w:uiPriority w:val="99"/>
  </w:style>
  <w:style w:type="character" w:customStyle="1" w:styleId="33">
    <w:name w:val="批注主题 Char"/>
    <w:basedOn w:val="32"/>
    <w:link w:val="19"/>
    <w:semiHidden/>
    <w:qFormat/>
    <w:uiPriority w:val="99"/>
    <w:rPr>
      <w:b/>
      <w:bCs/>
    </w:rPr>
  </w:style>
  <w:style w:type="character" w:customStyle="1" w:styleId="34">
    <w:name w:val="批注框文本 Char"/>
    <w:basedOn w:val="22"/>
    <w:link w:val="13"/>
    <w:semiHidden/>
    <w:qFormat/>
    <w:uiPriority w:val="99"/>
    <w:rPr>
      <w:sz w:val="18"/>
      <w:szCs w:val="18"/>
    </w:rPr>
  </w:style>
  <w:style w:type="paragraph" w:styleId="35">
    <w:name w:val="List Paragraph"/>
    <w:basedOn w:val="1"/>
    <w:qFormat/>
    <w:uiPriority w:val="34"/>
    <w:pPr>
      <w:ind w:firstLine="420" w:firstLineChars="200"/>
    </w:pPr>
  </w:style>
  <w:style w:type="paragraph" w:customStyle="1" w:styleId="36">
    <w:name w:val="修订1"/>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character" w:customStyle="1" w:styleId="37">
    <w:name w:val="标题 1 Char"/>
    <w:basedOn w:val="22"/>
    <w:link w:val="2"/>
    <w:qFormat/>
    <w:uiPriority w:val="9"/>
    <w:rPr>
      <w:rFonts w:asciiTheme="majorHAnsi" w:hAnsiTheme="majorHAnsi" w:eastAsiaTheme="majorEastAsia" w:cstheme="majorBidi"/>
      <w:color w:val="376092" w:themeColor="accent1" w:themeShade="BF"/>
      <w:sz w:val="32"/>
      <w:szCs w:val="32"/>
    </w:rPr>
  </w:style>
  <w:style w:type="character" w:customStyle="1" w:styleId="38">
    <w:name w:val="标题 2 Char"/>
    <w:basedOn w:val="22"/>
    <w:link w:val="3"/>
    <w:semiHidden/>
    <w:qFormat/>
    <w:uiPriority w:val="9"/>
    <w:rPr>
      <w:rFonts w:asciiTheme="majorHAnsi" w:hAnsiTheme="majorHAnsi" w:eastAsiaTheme="majorEastAsia" w:cstheme="majorBidi"/>
      <w:color w:val="376092" w:themeColor="accent1" w:themeShade="BF"/>
      <w:sz w:val="28"/>
      <w:szCs w:val="28"/>
    </w:rPr>
  </w:style>
  <w:style w:type="character" w:customStyle="1" w:styleId="39">
    <w:name w:val="标题 3 Char"/>
    <w:basedOn w:val="22"/>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40">
    <w:name w:val="标题 4 Char"/>
    <w:basedOn w:val="22"/>
    <w:link w:val="5"/>
    <w:semiHidden/>
    <w:qFormat/>
    <w:uiPriority w:val="9"/>
    <w:rPr>
      <w:rFonts w:asciiTheme="majorHAnsi" w:hAnsiTheme="majorHAnsi" w:eastAsiaTheme="majorEastAsia" w:cstheme="majorBidi"/>
      <w:i/>
      <w:iCs/>
      <w:color w:val="376092" w:themeColor="accent1" w:themeShade="BF"/>
    </w:rPr>
  </w:style>
  <w:style w:type="character" w:customStyle="1" w:styleId="41">
    <w:name w:val="标题 5 Char"/>
    <w:basedOn w:val="22"/>
    <w:link w:val="6"/>
    <w:semiHidden/>
    <w:qFormat/>
    <w:uiPriority w:val="9"/>
    <w:rPr>
      <w:rFonts w:asciiTheme="majorHAnsi" w:hAnsiTheme="majorHAnsi" w:eastAsiaTheme="majorEastAsia" w:cstheme="majorBidi"/>
      <w:color w:val="376092" w:themeColor="accent1" w:themeShade="BF"/>
    </w:rPr>
  </w:style>
  <w:style w:type="character" w:customStyle="1" w:styleId="42">
    <w:name w:val="标题 6 Char"/>
    <w:basedOn w:val="22"/>
    <w:link w:val="7"/>
    <w:semiHidden/>
    <w:qFormat/>
    <w:uiPriority w:val="9"/>
    <w:rPr>
      <w:rFonts w:asciiTheme="majorHAnsi" w:hAnsiTheme="majorHAnsi" w:eastAsiaTheme="majorEastAsia" w:cstheme="majorBidi"/>
      <w:color w:val="254061" w:themeColor="accent1" w:themeShade="80"/>
    </w:rPr>
  </w:style>
  <w:style w:type="character" w:customStyle="1" w:styleId="43">
    <w:name w:val="标题 7 Char"/>
    <w:basedOn w:val="22"/>
    <w:link w:val="8"/>
    <w:semiHidden/>
    <w:qFormat/>
    <w:uiPriority w:val="9"/>
    <w:rPr>
      <w:rFonts w:asciiTheme="majorHAnsi" w:hAnsiTheme="majorHAnsi" w:eastAsiaTheme="majorEastAsia" w:cstheme="majorBidi"/>
      <w:i/>
      <w:iCs/>
      <w:color w:val="254061" w:themeColor="accent1" w:themeShade="80"/>
    </w:rPr>
  </w:style>
  <w:style w:type="character" w:customStyle="1" w:styleId="44">
    <w:name w:val="标题 8 Char"/>
    <w:basedOn w:val="22"/>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45">
    <w:name w:val="标题 9 Char"/>
    <w:basedOn w:val="22"/>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6">
    <w:name w:val="标题 Char"/>
    <w:basedOn w:val="22"/>
    <w:link w:val="18"/>
    <w:qFormat/>
    <w:uiPriority w:val="10"/>
    <w:rPr>
      <w:rFonts w:asciiTheme="majorHAnsi" w:hAnsiTheme="majorHAnsi" w:eastAsiaTheme="majorEastAsia" w:cstheme="majorBidi"/>
      <w:spacing w:val="-10"/>
      <w:sz w:val="56"/>
      <w:szCs w:val="56"/>
    </w:rPr>
  </w:style>
  <w:style w:type="character" w:customStyle="1" w:styleId="47">
    <w:name w:val="副标题 Char"/>
    <w:basedOn w:val="22"/>
    <w:link w:val="16"/>
    <w:qFormat/>
    <w:uiPriority w:val="11"/>
    <w:rPr>
      <w:color w:val="595959" w:themeColor="text1" w:themeTint="A6"/>
      <w:spacing w:val="15"/>
      <w14:textFill>
        <w14:solidFill>
          <w14:schemeClr w14:val="tx1">
            <w14:lumMod w14:val="65000"/>
            <w14:lumOff w14:val="35000"/>
          </w14:schemeClr>
        </w14:solidFill>
      </w14:textFill>
    </w:rPr>
  </w:style>
  <w:style w:type="paragraph" w:styleId="48">
    <w:name w:val="No Spacing"/>
    <w:qFormat/>
    <w:uiPriority w:val="1"/>
    <w:rPr>
      <w:rFonts w:asciiTheme="minorHAnsi" w:hAnsiTheme="minorHAnsi" w:eastAsiaTheme="minorEastAsia" w:cstheme="minorBidi"/>
      <w:sz w:val="22"/>
      <w:szCs w:val="22"/>
      <w:lang w:val="en-US" w:eastAsia="zh-CN" w:bidi="ar-SA"/>
    </w:rPr>
  </w:style>
  <w:style w:type="paragraph" w:styleId="49">
    <w:name w:val="Quote"/>
    <w:basedOn w:val="1"/>
    <w:next w:val="1"/>
    <w:link w:val="50"/>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50">
    <w:name w:val="引用 Char"/>
    <w:basedOn w:val="22"/>
    <w:link w:val="49"/>
    <w:qFormat/>
    <w:uiPriority w:val="29"/>
    <w:rPr>
      <w:i/>
      <w:iCs/>
      <w:color w:val="404040" w:themeColor="text1" w:themeTint="BF"/>
      <w14:textFill>
        <w14:solidFill>
          <w14:schemeClr w14:val="tx1">
            <w14:lumMod w14:val="75000"/>
            <w14:lumOff w14:val="25000"/>
          </w14:schemeClr>
        </w14:solidFill>
      </w14:textFill>
    </w:rPr>
  </w:style>
  <w:style w:type="paragraph" w:styleId="51">
    <w:name w:val="Intense Quote"/>
    <w:basedOn w:val="1"/>
    <w:next w:val="1"/>
    <w:link w:val="52"/>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52">
    <w:name w:val="明显引用 Char"/>
    <w:basedOn w:val="22"/>
    <w:link w:val="51"/>
    <w:qFormat/>
    <w:uiPriority w:val="30"/>
    <w:rPr>
      <w:i/>
      <w:iCs/>
      <w:color w:val="4F81BD" w:themeColor="accent1"/>
      <w14:textFill>
        <w14:solidFill>
          <w14:schemeClr w14:val="accent1"/>
        </w14:solidFill>
      </w14:textFill>
    </w:rPr>
  </w:style>
  <w:style w:type="character" w:customStyle="1" w:styleId="53">
    <w:name w:val="不明显强调1"/>
    <w:basedOn w:val="22"/>
    <w:qFormat/>
    <w:uiPriority w:val="19"/>
    <w:rPr>
      <w:i/>
      <w:iCs/>
      <w:color w:val="404040" w:themeColor="text1" w:themeTint="BF"/>
      <w14:textFill>
        <w14:solidFill>
          <w14:schemeClr w14:val="tx1">
            <w14:lumMod w14:val="75000"/>
            <w14:lumOff w14:val="25000"/>
          </w14:schemeClr>
        </w14:solidFill>
      </w14:textFill>
    </w:rPr>
  </w:style>
  <w:style w:type="character" w:customStyle="1" w:styleId="54">
    <w:name w:val="明显强调1"/>
    <w:basedOn w:val="22"/>
    <w:qFormat/>
    <w:uiPriority w:val="21"/>
    <w:rPr>
      <w:i/>
      <w:iCs/>
      <w:color w:val="4F81BD" w:themeColor="accent1"/>
      <w14:textFill>
        <w14:solidFill>
          <w14:schemeClr w14:val="accent1"/>
        </w14:solidFill>
      </w14:textFill>
    </w:rPr>
  </w:style>
  <w:style w:type="character" w:customStyle="1" w:styleId="55">
    <w:name w:val="不明显参考1"/>
    <w:basedOn w:val="22"/>
    <w:qFormat/>
    <w:uiPriority w:val="31"/>
    <w:rPr>
      <w:smallCaps/>
      <w:color w:val="404040" w:themeColor="text1" w:themeTint="BF"/>
      <w14:textFill>
        <w14:solidFill>
          <w14:schemeClr w14:val="tx1">
            <w14:lumMod w14:val="75000"/>
            <w14:lumOff w14:val="25000"/>
          </w14:schemeClr>
        </w14:solidFill>
      </w14:textFill>
    </w:rPr>
  </w:style>
  <w:style w:type="character" w:customStyle="1" w:styleId="56">
    <w:name w:val="明显参考1"/>
    <w:basedOn w:val="22"/>
    <w:qFormat/>
    <w:uiPriority w:val="32"/>
    <w:rPr>
      <w:b/>
      <w:bCs/>
      <w:smallCaps/>
      <w:color w:val="4F81BD" w:themeColor="accent1"/>
      <w:spacing w:val="5"/>
      <w14:textFill>
        <w14:solidFill>
          <w14:schemeClr w14:val="accent1"/>
        </w14:solidFill>
      </w14:textFill>
    </w:rPr>
  </w:style>
  <w:style w:type="character" w:customStyle="1" w:styleId="57">
    <w:name w:val="书籍标题1"/>
    <w:basedOn w:val="22"/>
    <w:qFormat/>
    <w:uiPriority w:val="33"/>
    <w:rPr>
      <w:b/>
      <w:bCs/>
      <w:i/>
      <w:iCs/>
      <w:spacing w:val="5"/>
    </w:rPr>
  </w:style>
  <w:style w:type="paragraph" w:customStyle="1" w:styleId="5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30</Pages>
  <Words>16160</Words>
  <Characters>17728</Characters>
  <Lines>131</Lines>
  <Paragraphs>36</Paragraphs>
  <TotalTime>171</TotalTime>
  <ScaleCrop>false</ScaleCrop>
  <LinksUpToDate>false</LinksUpToDate>
  <CharactersWithSpaces>18092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2022-04-03T09:54:00Z</dcterms:created>
  <dc:creator>mof</dc:creator>
  <cp:lastModifiedBy>Anne</cp:lastModifiedBy>
  <cp:lastPrinted>2023-06-01T18:55:00Z</cp:lastPrinted>
  <dcterms:modified xsi:type="dcterms:W3CDTF">2023-06-16T06:29:20Z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1B14368F9E8B4B249F49A0D0EC3D5E3A_12</vt:lpwstr>
  </property>
</Properties>
</file>